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A60" w:rsidRPr="00ED04C7" w:rsidRDefault="00C33A60" w:rsidP="00ED04C7">
      <w:pPr>
        <w:pStyle w:val="Title"/>
      </w:pPr>
      <w:r w:rsidRPr="00ED04C7">
        <w:t>Report of the Educational Services Advisory Committee</w:t>
      </w:r>
    </w:p>
    <w:p w:rsidR="00C33A60" w:rsidRPr="00ED04C7" w:rsidRDefault="00C33A60" w:rsidP="00ED04C7">
      <w:pPr>
        <w:pStyle w:val="Title"/>
      </w:pPr>
      <w:proofErr w:type="gramStart"/>
      <w:r w:rsidRPr="00ED04C7">
        <w:t>to</w:t>
      </w:r>
      <w:proofErr w:type="gramEnd"/>
      <w:r w:rsidRPr="00ED04C7">
        <w:t xml:space="preserve"> the Trustees of the</w:t>
      </w:r>
    </w:p>
    <w:p w:rsidR="00C33A60" w:rsidRPr="00ED04C7" w:rsidRDefault="00C33A60" w:rsidP="00ED04C7">
      <w:pPr>
        <w:pStyle w:val="Title"/>
      </w:pPr>
      <w:r w:rsidRPr="00ED04C7">
        <w:t>American Printing House for the Blind</w:t>
      </w:r>
    </w:p>
    <w:p w:rsidR="00C33A60" w:rsidRPr="00ED04C7" w:rsidRDefault="00C33A60" w:rsidP="00ED04C7">
      <w:pPr>
        <w:pStyle w:val="Title"/>
      </w:pPr>
      <w:r w:rsidRPr="00ED04C7">
        <w:t>Fiscal Year 201</w:t>
      </w:r>
      <w:r w:rsidR="00CF451E" w:rsidRPr="00ED04C7">
        <w:t>7</w:t>
      </w:r>
    </w:p>
    <w:p w:rsidR="00C33A60" w:rsidRPr="00C937E0" w:rsidRDefault="00C33A60" w:rsidP="00C33A60">
      <w:pPr>
        <w:pStyle w:val="NoSpacing"/>
        <w:rPr>
          <w:rFonts w:ascii="Verdana" w:hAnsi="Verdana"/>
          <w:sz w:val="24"/>
          <w:szCs w:val="24"/>
        </w:rPr>
      </w:pPr>
    </w:p>
    <w:p w:rsidR="00C33A60" w:rsidRPr="00ED04C7" w:rsidRDefault="00C33A60" w:rsidP="00ED04C7">
      <w:pPr>
        <w:pStyle w:val="Heading1"/>
      </w:pPr>
      <w:r w:rsidRPr="00ED04C7">
        <w:t>PURPOSE:</w:t>
      </w:r>
    </w:p>
    <w:p w:rsidR="00C33A60" w:rsidRPr="00C937E0" w:rsidRDefault="00C33A60" w:rsidP="00C33A60">
      <w:pPr>
        <w:pStyle w:val="NoSpacing"/>
        <w:rPr>
          <w:rFonts w:ascii="Verdana" w:hAnsi="Verdana" w:cs="Arial"/>
          <w:b/>
          <w:bCs/>
          <w:color w:val="000000"/>
          <w:sz w:val="10"/>
          <w:szCs w:val="10"/>
        </w:rPr>
      </w:pPr>
    </w:p>
    <w:p w:rsidR="00C33A60" w:rsidRPr="00C937E0" w:rsidRDefault="00C33A60" w:rsidP="00C33A60">
      <w:pPr>
        <w:pStyle w:val="NoSpacing"/>
        <w:rPr>
          <w:rFonts w:ascii="Verdana" w:hAnsi="Verdana"/>
          <w:sz w:val="24"/>
          <w:szCs w:val="24"/>
        </w:rPr>
      </w:pPr>
      <w:r w:rsidRPr="00C937E0">
        <w:rPr>
          <w:rFonts w:ascii="Verdana" w:hAnsi="Verdana" w:cs="Arial"/>
          <w:color w:val="000000"/>
          <w:sz w:val="24"/>
          <w:szCs w:val="24"/>
        </w:rPr>
        <w:t>The purpose of the Educational Services Advisory Committee (ESAC) is to:</w:t>
      </w:r>
    </w:p>
    <w:p w:rsidR="00C33A60" w:rsidRPr="00C937E0" w:rsidRDefault="00C33A60" w:rsidP="00C33A60">
      <w:pPr>
        <w:pStyle w:val="NoSpacing"/>
        <w:numPr>
          <w:ilvl w:val="0"/>
          <w:numId w:val="6"/>
        </w:numPr>
        <w:rPr>
          <w:rFonts w:ascii="Verdana" w:hAnsi="Verdana" w:cs="Arial"/>
          <w:color w:val="000000"/>
          <w:sz w:val="24"/>
          <w:szCs w:val="24"/>
        </w:rPr>
      </w:pPr>
      <w:r w:rsidRPr="00C937E0">
        <w:rPr>
          <w:rFonts w:ascii="Verdana" w:hAnsi="Verdana" w:cs="Arial"/>
          <w:color w:val="000000"/>
          <w:sz w:val="24"/>
          <w:szCs w:val="24"/>
        </w:rPr>
        <w:t xml:space="preserve">Provide oversight and leadership in the planning, evaluation and delivery of </w:t>
      </w:r>
      <w:r>
        <w:rPr>
          <w:rFonts w:ascii="Verdana" w:hAnsi="Verdana" w:cs="Arial"/>
          <w:color w:val="000000"/>
          <w:sz w:val="24"/>
          <w:szCs w:val="24"/>
        </w:rPr>
        <w:t xml:space="preserve">product-related </w:t>
      </w:r>
      <w:r w:rsidRPr="00C937E0">
        <w:rPr>
          <w:rFonts w:ascii="Verdana" w:hAnsi="Verdana" w:cs="Arial"/>
          <w:color w:val="000000"/>
          <w:sz w:val="24"/>
          <w:szCs w:val="24"/>
        </w:rPr>
        <w:t>services.</w:t>
      </w:r>
    </w:p>
    <w:p w:rsidR="00C33A60" w:rsidRPr="00C937E0" w:rsidRDefault="00C33A60" w:rsidP="00C33A60">
      <w:pPr>
        <w:pStyle w:val="NoSpacing"/>
        <w:numPr>
          <w:ilvl w:val="0"/>
          <w:numId w:val="6"/>
        </w:numPr>
        <w:rPr>
          <w:rFonts w:ascii="Verdana" w:hAnsi="Verdana" w:cs="Arial"/>
          <w:color w:val="000000"/>
          <w:sz w:val="24"/>
          <w:szCs w:val="24"/>
        </w:rPr>
      </w:pPr>
      <w:r w:rsidRPr="00C937E0">
        <w:rPr>
          <w:rFonts w:ascii="Verdana" w:hAnsi="Verdana" w:cs="Arial"/>
          <w:color w:val="000000"/>
          <w:sz w:val="24"/>
          <w:szCs w:val="24"/>
        </w:rPr>
        <w:t>Identify new services needed.</w:t>
      </w:r>
    </w:p>
    <w:p w:rsidR="00C33A60" w:rsidRPr="00C937E0" w:rsidRDefault="00C33A60" w:rsidP="00C33A60">
      <w:pPr>
        <w:pStyle w:val="NoSpacing"/>
        <w:numPr>
          <w:ilvl w:val="0"/>
          <w:numId w:val="6"/>
        </w:numPr>
        <w:rPr>
          <w:rFonts w:ascii="Verdana" w:hAnsi="Verdana" w:cs="Arial"/>
          <w:color w:val="000000"/>
          <w:sz w:val="24"/>
          <w:szCs w:val="24"/>
        </w:rPr>
      </w:pPr>
      <w:r w:rsidRPr="00C937E0">
        <w:rPr>
          <w:rFonts w:ascii="Verdana" w:hAnsi="Verdana" w:cs="Arial"/>
          <w:color w:val="000000"/>
          <w:sz w:val="24"/>
          <w:szCs w:val="24"/>
        </w:rPr>
        <w:t xml:space="preserve">Assist </w:t>
      </w:r>
      <w:r>
        <w:rPr>
          <w:rFonts w:ascii="Verdana" w:hAnsi="Verdana" w:cs="Arial"/>
          <w:color w:val="000000"/>
          <w:sz w:val="24"/>
          <w:szCs w:val="24"/>
        </w:rPr>
        <w:t xml:space="preserve">in </w:t>
      </w:r>
      <w:r w:rsidRPr="00C937E0">
        <w:rPr>
          <w:rFonts w:ascii="Verdana" w:hAnsi="Verdana" w:cs="Arial"/>
          <w:color w:val="000000"/>
          <w:sz w:val="24"/>
          <w:szCs w:val="24"/>
        </w:rPr>
        <w:t>the promotion of APH products through services, and</w:t>
      </w:r>
    </w:p>
    <w:p w:rsidR="00C33A60" w:rsidRPr="00CE2302" w:rsidRDefault="00C33A60" w:rsidP="00C33A60">
      <w:pPr>
        <w:pStyle w:val="NoSpacing"/>
        <w:numPr>
          <w:ilvl w:val="0"/>
          <w:numId w:val="6"/>
        </w:numPr>
        <w:rPr>
          <w:rFonts w:ascii="Verdana" w:hAnsi="Verdana" w:cs="Arial"/>
          <w:color w:val="000000"/>
          <w:sz w:val="24"/>
          <w:szCs w:val="24"/>
        </w:rPr>
      </w:pPr>
      <w:r w:rsidRPr="00C937E0">
        <w:rPr>
          <w:rFonts w:ascii="Verdana" w:hAnsi="Verdana" w:cs="Arial"/>
          <w:color w:val="000000"/>
          <w:sz w:val="24"/>
          <w:szCs w:val="24"/>
        </w:rPr>
        <w:t xml:space="preserve">Advise APH on general operations and communications as they relate to the accountability </w:t>
      </w:r>
      <w:r>
        <w:rPr>
          <w:rFonts w:ascii="Verdana" w:hAnsi="Verdana" w:cs="Arial"/>
          <w:color w:val="000000"/>
          <w:sz w:val="24"/>
          <w:szCs w:val="24"/>
        </w:rPr>
        <w:t xml:space="preserve">and accessibility </w:t>
      </w:r>
      <w:r w:rsidRPr="00C937E0">
        <w:rPr>
          <w:rFonts w:ascii="Verdana" w:hAnsi="Verdana" w:cs="Arial"/>
          <w:color w:val="000000"/>
          <w:sz w:val="24"/>
          <w:szCs w:val="24"/>
        </w:rPr>
        <w:t>of services provided.</w:t>
      </w:r>
    </w:p>
    <w:p w:rsidR="00C33A60" w:rsidRDefault="00C33A60" w:rsidP="00C33A60">
      <w:pPr>
        <w:pStyle w:val="NoSpacing"/>
        <w:rPr>
          <w:rFonts w:ascii="Verdana" w:hAnsi="Verdana"/>
          <w:sz w:val="24"/>
          <w:szCs w:val="24"/>
        </w:rPr>
      </w:pPr>
    </w:p>
    <w:p w:rsidR="00C33A60" w:rsidRPr="00ED04C7" w:rsidRDefault="00C33A60" w:rsidP="00ED04C7">
      <w:pPr>
        <w:pStyle w:val="Heading1"/>
      </w:pPr>
      <w:r w:rsidRPr="00ED04C7">
        <w:t>INTRODUCTION:</w:t>
      </w:r>
    </w:p>
    <w:p w:rsidR="00C33A60" w:rsidRPr="00C937E0" w:rsidRDefault="00C33A60" w:rsidP="00C33A60">
      <w:pPr>
        <w:pStyle w:val="NoSpacing"/>
        <w:rPr>
          <w:rFonts w:ascii="Verdana" w:hAnsi="Verdana"/>
          <w:b/>
          <w:sz w:val="10"/>
          <w:szCs w:val="10"/>
        </w:rPr>
      </w:pPr>
    </w:p>
    <w:p w:rsidR="00C33A60" w:rsidRPr="00C937E0" w:rsidRDefault="00C33A60" w:rsidP="00C33A60">
      <w:pPr>
        <w:pStyle w:val="NoSpacing"/>
        <w:rPr>
          <w:rFonts w:ascii="Verdana" w:hAnsi="Verdana"/>
          <w:sz w:val="24"/>
          <w:szCs w:val="24"/>
        </w:rPr>
      </w:pPr>
      <w:r w:rsidRPr="00C937E0">
        <w:rPr>
          <w:rFonts w:ascii="Verdana" w:hAnsi="Verdana"/>
          <w:sz w:val="24"/>
          <w:szCs w:val="24"/>
        </w:rPr>
        <w:t>In May of 201</w:t>
      </w:r>
      <w:r>
        <w:rPr>
          <w:rFonts w:ascii="Verdana" w:hAnsi="Verdana"/>
          <w:sz w:val="24"/>
          <w:szCs w:val="24"/>
        </w:rPr>
        <w:t>7</w:t>
      </w:r>
      <w:r w:rsidRPr="00C937E0">
        <w:rPr>
          <w:rFonts w:ascii="Verdana" w:hAnsi="Verdana"/>
          <w:sz w:val="24"/>
          <w:szCs w:val="24"/>
        </w:rPr>
        <w:t xml:space="preserve"> the Educational Services Advisory Committee (ESAC) met in Louisville, KY at the American Printing Hous</w:t>
      </w:r>
      <w:r>
        <w:rPr>
          <w:rFonts w:ascii="Verdana" w:hAnsi="Verdana"/>
          <w:sz w:val="24"/>
          <w:szCs w:val="24"/>
        </w:rPr>
        <w:t xml:space="preserve">e for the Blind (APH) </w:t>
      </w:r>
      <w:r w:rsidRPr="00C937E0">
        <w:rPr>
          <w:rFonts w:ascii="Verdana" w:hAnsi="Verdana"/>
          <w:sz w:val="24"/>
          <w:szCs w:val="24"/>
        </w:rPr>
        <w:t>to address the 201</w:t>
      </w:r>
      <w:r>
        <w:rPr>
          <w:rFonts w:ascii="Verdana" w:hAnsi="Verdana"/>
          <w:sz w:val="24"/>
          <w:szCs w:val="24"/>
        </w:rPr>
        <w:t>6</w:t>
      </w:r>
      <w:r w:rsidRPr="00C937E0">
        <w:rPr>
          <w:rFonts w:ascii="Verdana" w:hAnsi="Verdana"/>
          <w:sz w:val="24"/>
          <w:szCs w:val="24"/>
        </w:rPr>
        <w:t xml:space="preserve"> ESAC report and to develop commendations and recommendations</w:t>
      </w:r>
      <w:r>
        <w:rPr>
          <w:rFonts w:ascii="Verdana" w:hAnsi="Verdana"/>
          <w:sz w:val="24"/>
          <w:szCs w:val="24"/>
        </w:rPr>
        <w:t xml:space="preserve"> for the current fiscal year</w:t>
      </w:r>
      <w:r w:rsidRPr="00C937E0">
        <w:rPr>
          <w:rFonts w:ascii="Verdana" w:hAnsi="Verdana"/>
          <w:sz w:val="24"/>
          <w:szCs w:val="24"/>
        </w:rPr>
        <w:t>.  To assist with this endeavor, interactive presentations were mad</w:t>
      </w:r>
      <w:r>
        <w:rPr>
          <w:rFonts w:ascii="Verdana" w:hAnsi="Verdana"/>
          <w:sz w:val="24"/>
          <w:szCs w:val="24"/>
        </w:rPr>
        <w:t xml:space="preserve">e by APH’s administrative staff, including </w:t>
      </w:r>
      <w:r w:rsidRPr="00C937E0">
        <w:rPr>
          <w:rFonts w:ascii="Verdana" w:hAnsi="Verdana"/>
          <w:sz w:val="24"/>
          <w:szCs w:val="24"/>
        </w:rPr>
        <w:t>progress updates on the 201</w:t>
      </w:r>
      <w:r>
        <w:rPr>
          <w:rFonts w:ascii="Verdana" w:hAnsi="Verdana"/>
          <w:sz w:val="24"/>
          <w:szCs w:val="24"/>
        </w:rPr>
        <w:t>6</w:t>
      </w:r>
      <w:r w:rsidRPr="00C937E0">
        <w:rPr>
          <w:rFonts w:ascii="Verdana" w:hAnsi="Verdana"/>
          <w:sz w:val="24"/>
          <w:szCs w:val="24"/>
        </w:rPr>
        <w:t xml:space="preserve"> recommendations, operations and information on new initiatives.</w:t>
      </w:r>
    </w:p>
    <w:p w:rsidR="00C33A60" w:rsidRDefault="00C33A60" w:rsidP="00C33A60">
      <w:pPr>
        <w:spacing w:after="0" w:line="240" w:lineRule="auto"/>
        <w:rPr>
          <w:b/>
          <w:color w:val="FF0000"/>
          <w:u w:val="single"/>
        </w:rPr>
      </w:pPr>
    </w:p>
    <w:p w:rsidR="00C33A60" w:rsidRPr="005602C7" w:rsidRDefault="00C33A60" w:rsidP="00C33A60">
      <w:pPr>
        <w:spacing w:after="0" w:line="240" w:lineRule="auto"/>
      </w:pPr>
    </w:p>
    <w:p w:rsidR="00C33A60" w:rsidRPr="00C33A60" w:rsidRDefault="00C33A60" w:rsidP="00ED04C7">
      <w:pPr>
        <w:pStyle w:val="Heading1"/>
      </w:pPr>
      <w:r w:rsidRPr="00C33A60">
        <w:t>COMMENDATIONS:</w:t>
      </w:r>
    </w:p>
    <w:p w:rsidR="00C33A60" w:rsidRPr="002275C2" w:rsidRDefault="00C33A60" w:rsidP="00C33A60">
      <w:pPr>
        <w:spacing w:after="0" w:line="240" w:lineRule="auto"/>
        <w:rPr>
          <w:b/>
          <w:u w:val="single"/>
        </w:rPr>
      </w:pPr>
    </w:p>
    <w:p w:rsidR="00C33A60" w:rsidRDefault="00C33A60" w:rsidP="00C33A60">
      <w:pPr>
        <w:spacing w:after="0" w:line="240" w:lineRule="auto"/>
        <w:rPr>
          <w:rFonts w:ascii="Verdana" w:hAnsi="Verdana"/>
          <w:sz w:val="24"/>
          <w:szCs w:val="24"/>
        </w:rPr>
      </w:pPr>
      <w:r>
        <w:rPr>
          <w:rFonts w:ascii="Verdana" w:hAnsi="Verdana"/>
          <w:sz w:val="24"/>
          <w:szCs w:val="24"/>
        </w:rPr>
        <w:t xml:space="preserve">1. </w:t>
      </w:r>
      <w:r w:rsidRPr="00C33A60">
        <w:rPr>
          <w:rFonts w:ascii="Verdana" w:hAnsi="Verdana"/>
          <w:sz w:val="24"/>
          <w:szCs w:val="24"/>
        </w:rPr>
        <w:t>The ESAC offers a commendation for the development of the APH 2017 Strategic Plan including the vision to be known as the “go to” provider for goods and services for the visually impaired community across the world.</w:t>
      </w:r>
    </w:p>
    <w:p w:rsidR="00C33A60" w:rsidRPr="00C33A60" w:rsidRDefault="00C33A60" w:rsidP="00C33A60">
      <w:pPr>
        <w:spacing w:after="0" w:line="240" w:lineRule="auto"/>
        <w:rPr>
          <w:rFonts w:ascii="Verdana" w:hAnsi="Verdana"/>
          <w:sz w:val="8"/>
          <w:szCs w:val="8"/>
        </w:rPr>
      </w:pPr>
    </w:p>
    <w:p w:rsidR="00C33A60" w:rsidRDefault="00C33A60" w:rsidP="00C33A60">
      <w:pPr>
        <w:spacing w:after="0" w:line="240" w:lineRule="auto"/>
        <w:rPr>
          <w:rFonts w:ascii="Verdana" w:hAnsi="Verdana"/>
          <w:sz w:val="24"/>
          <w:szCs w:val="24"/>
        </w:rPr>
      </w:pPr>
      <w:r>
        <w:rPr>
          <w:rFonts w:ascii="Verdana" w:hAnsi="Verdana"/>
          <w:sz w:val="24"/>
          <w:szCs w:val="24"/>
        </w:rPr>
        <w:t xml:space="preserve">2. </w:t>
      </w:r>
      <w:r w:rsidRPr="00C33A60">
        <w:rPr>
          <w:rFonts w:ascii="Verdana" w:hAnsi="Verdana"/>
          <w:sz w:val="24"/>
          <w:szCs w:val="24"/>
        </w:rPr>
        <w:t>The ESAC offers a commendation for the seamless transition of the release of the NIMAC V3 online system.</w:t>
      </w:r>
    </w:p>
    <w:p w:rsidR="00C33A60" w:rsidRPr="00C33A60" w:rsidRDefault="00C33A60" w:rsidP="00C33A60">
      <w:pPr>
        <w:spacing w:after="0" w:line="240" w:lineRule="auto"/>
        <w:rPr>
          <w:rFonts w:ascii="Verdana" w:hAnsi="Verdana"/>
          <w:sz w:val="8"/>
          <w:szCs w:val="8"/>
        </w:rPr>
      </w:pPr>
    </w:p>
    <w:p w:rsidR="00C33A60" w:rsidRDefault="00C33A60" w:rsidP="00C33A60">
      <w:pPr>
        <w:spacing w:after="0" w:line="240" w:lineRule="auto"/>
        <w:rPr>
          <w:rFonts w:ascii="Verdana" w:hAnsi="Verdana"/>
          <w:sz w:val="24"/>
          <w:szCs w:val="24"/>
        </w:rPr>
      </w:pPr>
      <w:r>
        <w:rPr>
          <w:rFonts w:ascii="Verdana" w:hAnsi="Verdana"/>
          <w:sz w:val="24"/>
          <w:szCs w:val="24"/>
        </w:rPr>
        <w:t xml:space="preserve">3. </w:t>
      </w:r>
      <w:r w:rsidRPr="00C33A60">
        <w:rPr>
          <w:rFonts w:ascii="Verdana" w:hAnsi="Verdana"/>
          <w:sz w:val="24"/>
          <w:szCs w:val="24"/>
        </w:rPr>
        <w:t>The ESAC offers a commendation for the aggressive marketing plan for increasing revenue and Federal Quota allocations.</w:t>
      </w:r>
    </w:p>
    <w:p w:rsidR="00C33A60" w:rsidRPr="00C33A60" w:rsidRDefault="00C33A60" w:rsidP="00C33A60">
      <w:pPr>
        <w:spacing w:after="0" w:line="240" w:lineRule="auto"/>
        <w:rPr>
          <w:rFonts w:ascii="Verdana" w:hAnsi="Verdana"/>
          <w:sz w:val="8"/>
          <w:szCs w:val="8"/>
        </w:rPr>
      </w:pPr>
    </w:p>
    <w:p w:rsidR="00C33A60" w:rsidRDefault="00C33A60" w:rsidP="00C33A60">
      <w:pPr>
        <w:spacing w:after="0" w:line="240" w:lineRule="auto"/>
        <w:rPr>
          <w:rFonts w:ascii="Verdana" w:hAnsi="Verdana"/>
          <w:sz w:val="24"/>
          <w:szCs w:val="24"/>
        </w:rPr>
      </w:pPr>
      <w:r>
        <w:rPr>
          <w:rFonts w:ascii="Verdana" w:hAnsi="Verdana"/>
          <w:sz w:val="24"/>
          <w:szCs w:val="24"/>
        </w:rPr>
        <w:t xml:space="preserve">4. </w:t>
      </w:r>
      <w:r w:rsidRPr="00C33A60">
        <w:rPr>
          <w:rFonts w:ascii="Verdana" w:hAnsi="Verdana"/>
          <w:sz w:val="24"/>
          <w:szCs w:val="24"/>
        </w:rPr>
        <w:t xml:space="preserve">The ESAC offers a commendation for the reorganization of the Annual Meeting agenda: engaging EOTs involvement in product and service discussions during breakout sessions; committee member led work groups; and the increased focus on adult services. </w:t>
      </w:r>
    </w:p>
    <w:p w:rsidR="00C33A60" w:rsidRPr="00C33A60" w:rsidRDefault="00C33A60" w:rsidP="00C33A60">
      <w:pPr>
        <w:spacing w:after="0" w:line="240" w:lineRule="auto"/>
        <w:rPr>
          <w:rFonts w:ascii="Verdana" w:hAnsi="Verdana"/>
          <w:sz w:val="8"/>
          <w:szCs w:val="8"/>
        </w:rPr>
      </w:pPr>
    </w:p>
    <w:p w:rsidR="00C33A60" w:rsidRDefault="00C33A60" w:rsidP="00C33A60">
      <w:pPr>
        <w:spacing w:after="0" w:line="240" w:lineRule="auto"/>
        <w:rPr>
          <w:rFonts w:ascii="Verdana" w:hAnsi="Verdana"/>
          <w:sz w:val="24"/>
          <w:szCs w:val="24"/>
        </w:rPr>
      </w:pPr>
      <w:r>
        <w:rPr>
          <w:rFonts w:ascii="Verdana" w:hAnsi="Verdana"/>
          <w:sz w:val="24"/>
          <w:szCs w:val="24"/>
        </w:rPr>
        <w:t xml:space="preserve">5. </w:t>
      </w:r>
      <w:r w:rsidRPr="00C33A60">
        <w:rPr>
          <w:rFonts w:ascii="Verdana" w:hAnsi="Verdana"/>
          <w:sz w:val="24"/>
          <w:szCs w:val="24"/>
        </w:rPr>
        <w:t>The ESAC offers a commendation for continuing to involve APH Scholars in EPAC/ESAC Meetings</w:t>
      </w:r>
      <w:r>
        <w:rPr>
          <w:rFonts w:ascii="Verdana" w:hAnsi="Verdana"/>
          <w:sz w:val="24"/>
          <w:szCs w:val="24"/>
        </w:rPr>
        <w:t>.</w:t>
      </w:r>
    </w:p>
    <w:p w:rsidR="00C33A60" w:rsidRPr="00C33A60" w:rsidRDefault="00C33A60" w:rsidP="00C33A60">
      <w:pPr>
        <w:spacing w:after="0" w:line="240" w:lineRule="auto"/>
        <w:rPr>
          <w:rFonts w:ascii="Verdana" w:hAnsi="Verdana"/>
          <w:sz w:val="24"/>
          <w:szCs w:val="24"/>
        </w:rPr>
      </w:pPr>
    </w:p>
    <w:p w:rsidR="00C33A60" w:rsidRDefault="00C33A60" w:rsidP="00C33A60">
      <w:pPr>
        <w:spacing w:after="0" w:line="240" w:lineRule="auto"/>
        <w:rPr>
          <w:rFonts w:ascii="Verdana" w:hAnsi="Verdana"/>
          <w:sz w:val="24"/>
          <w:szCs w:val="24"/>
        </w:rPr>
      </w:pPr>
      <w:r>
        <w:rPr>
          <w:rFonts w:ascii="Verdana" w:hAnsi="Verdana"/>
          <w:sz w:val="24"/>
          <w:szCs w:val="24"/>
        </w:rPr>
        <w:lastRenderedPageBreak/>
        <w:t xml:space="preserve">6. </w:t>
      </w:r>
      <w:r w:rsidRPr="00C33A60">
        <w:rPr>
          <w:rFonts w:ascii="Verdana" w:hAnsi="Verdana"/>
          <w:sz w:val="24"/>
          <w:szCs w:val="24"/>
        </w:rPr>
        <w:t>The ESAC offers a commendation for supporting the Core Business by investing in APH staff.</w:t>
      </w:r>
    </w:p>
    <w:p w:rsidR="00C33A60" w:rsidRPr="00C33A60" w:rsidRDefault="00C33A60" w:rsidP="00C33A60">
      <w:pPr>
        <w:spacing w:after="0" w:line="240" w:lineRule="auto"/>
        <w:rPr>
          <w:rFonts w:ascii="Verdana" w:hAnsi="Verdana"/>
          <w:sz w:val="8"/>
          <w:szCs w:val="8"/>
        </w:rPr>
      </w:pPr>
    </w:p>
    <w:p w:rsidR="00C33A60" w:rsidRDefault="00C33A60" w:rsidP="00C33A60">
      <w:pPr>
        <w:spacing w:after="0" w:line="240" w:lineRule="auto"/>
        <w:rPr>
          <w:rFonts w:ascii="Verdana" w:hAnsi="Verdana"/>
          <w:sz w:val="24"/>
          <w:szCs w:val="24"/>
        </w:rPr>
      </w:pPr>
      <w:r>
        <w:rPr>
          <w:rFonts w:ascii="Verdana" w:hAnsi="Verdana"/>
          <w:sz w:val="24"/>
          <w:szCs w:val="24"/>
        </w:rPr>
        <w:t xml:space="preserve">7. </w:t>
      </w:r>
      <w:r w:rsidRPr="00C33A60">
        <w:rPr>
          <w:rFonts w:ascii="Verdana" w:hAnsi="Verdana"/>
          <w:sz w:val="24"/>
          <w:szCs w:val="24"/>
        </w:rPr>
        <w:t>The ESAC offers a commendation for the redesign of 2016 Annual Report.</w:t>
      </w:r>
    </w:p>
    <w:p w:rsidR="00C33A60" w:rsidRPr="00C33A60" w:rsidRDefault="00C33A60" w:rsidP="00C33A60">
      <w:pPr>
        <w:spacing w:after="0" w:line="240" w:lineRule="auto"/>
        <w:rPr>
          <w:rFonts w:ascii="Verdana" w:hAnsi="Verdana"/>
          <w:sz w:val="8"/>
          <w:szCs w:val="8"/>
        </w:rPr>
      </w:pPr>
    </w:p>
    <w:p w:rsidR="00C33A60" w:rsidRDefault="00C33A60" w:rsidP="00C33A60">
      <w:pPr>
        <w:spacing w:after="0" w:line="240" w:lineRule="auto"/>
        <w:rPr>
          <w:rFonts w:ascii="Verdana" w:hAnsi="Verdana"/>
          <w:sz w:val="24"/>
          <w:szCs w:val="24"/>
        </w:rPr>
      </w:pPr>
      <w:r>
        <w:rPr>
          <w:rFonts w:ascii="Verdana" w:hAnsi="Verdana"/>
          <w:sz w:val="24"/>
          <w:szCs w:val="24"/>
        </w:rPr>
        <w:t xml:space="preserve">8. </w:t>
      </w:r>
      <w:r w:rsidRPr="00C33A60">
        <w:rPr>
          <w:rFonts w:ascii="Verdana" w:hAnsi="Verdana"/>
          <w:sz w:val="24"/>
          <w:szCs w:val="24"/>
        </w:rPr>
        <w:t>The ESAC offers a commendation for the weekly distribution of Quick Tip videos.</w:t>
      </w:r>
    </w:p>
    <w:p w:rsidR="00C33A60" w:rsidRPr="00C33A60" w:rsidRDefault="00C33A60" w:rsidP="00C33A60">
      <w:pPr>
        <w:spacing w:after="0" w:line="240" w:lineRule="auto"/>
        <w:rPr>
          <w:rFonts w:ascii="Verdana" w:hAnsi="Verdana"/>
          <w:sz w:val="8"/>
          <w:szCs w:val="8"/>
        </w:rPr>
      </w:pPr>
    </w:p>
    <w:p w:rsidR="00C33A60" w:rsidRDefault="00C33A60" w:rsidP="00C33A60">
      <w:pPr>
        <w:spacing w:after="0" w:line="240" w:lineRule="auto"/>
        <w:rPr>
          <w:rFonts w:ascii="Verdana" w:hAnsi="Verdana"/>
          <w:sz w:val="24"/>
          <w:szCs w:val="24"/>
        </w:rPr>
      </w:pPr>
      <w:r>
        <w:rPr>
          <w:rFonts w:ascii="Verdana" w:hAnsi="Verdana"/>
          <w:sz w:val="24"/>
          <w:szCs w:val="24"/>
        </w:rPr>
        <w:t xml:space="preserve">9. </w:t>
      </w:r>
      <w:r w:rsidRPr="00C33A60">
        <w:rPr>
          <w:rFonts w:ascii="Verdana" w:hAnsi="Verdana"/>
          <w:sz w:val="24"/>
          <w:szCs w:val="24"/>
        </w:rPr>
        <w:t>The ESAC offers a commendation for the establishment of the Louis Advisory committee.</w:t>
      </w:r>
    </w:p>
    <w:p w:rsidR="00C33A60" w:rsidRPr="00C33A60" w:rsidRDefault="00C33A60" w:rsidP="00C33A60">
      <w:pPr>
        <w:spacing w:after="0" w:line="240" w:lineRule="auto"/>
        <w:rPr>
          <w:rFonts w:ascii="Verdana" w:hAnsi="Verdana"/>
          <w:sz w:val="8"/>
          <w:szCs w:val="8"/>
        </w:rPr>
      </w:pPr>
    </w:p>
    <w:p w:rsidR="00C33A60" w:rsidRDefault="00C33A60" w:rsidP="00C33A60">
      <w:pPr>
        <w:spacing w:after="0" w:line="240" w:lineRule="auto"/>
        <w:rPr>
          <w:rFonts w:ascii="Verdana" w:hAnsi="Verdana"/>
          <w:sz w:val="24"/>
          <w:szCs w:val="24"/>
        </w:rPr>
      </w:pPr>
      <w:r>
        <w:rPr>
          <w:rFonts w:ascii="Verdana" w:hAnsi="Verdana"/>
          <w:sz w:val="24"/>
          <w:szCs w:val="24"/>
        </w:rPr>
        <w:t xml:space="preserve">10. </w:t>
      </w:r>
      <w:r w:rsidRPr="00C33A60">
        <w:rPr>
          <w:rFonts w:ascii="Verdana" w:hAnsi="Verdana"/>
          <w:sz w:val="24"/>
          <w:szCs w:val="24"/>
        </w:rPr>
        <w:t>The ESAC offers a commendation for the continued progress of knowledge management as a company-wide initiative and the plan to share results with other organizations and EOTs.</w:t>
      </w:r>
    </w:p>
    <w:p w:rsidR="00C33A60" w:rsidRPr="00C33A60" w:rsidRDefault="00C33A60" w:rsidP="00C33A60">
      <w:pPr>
        <w:spacing w:after="0" w:line="240" w:lineRule="auto"/>
        <w:rPr>
          <w:rFonts w:ascii="Verdana" w:hAnsi="Verdana"/>
          <w:sz w:val="8"/>
          <w:szCs w:val="8"/>
        </w:rPr>
      </w:pPr>
    </w:p>
    <w:p w:rsidR="00C33A60" w:rsidRPr="00C33A60" w:rsidRDefault="00C33A60" w:rsidP="00C33A60">
      <w:pPr>
        <w:spacing w:after="0" w:line="240" w:lineRule="auto"/>
        <w:rPr>
          <w:rFonts w:ascii="Verdana" w:hAnsi="Verdana"/>
          <w:sz w:val="24"/>
          <w:szCs w:val="24"/>
        </w:rPr>
      </w:pPr>
      <w:r>
        <w:rPr>
          <w:rFonts w:ascii="Verdana" w:hAnsi="Verdana"/>
          <w:sz w:val="24"/>
          <w:szCs w:val="24"/>
        </w:rPr>
        <w:t xml:space="preserve">11. </w:t>
      </w:r>
      <w:r w:rsidRPr="00C33A60">
        <w:rPr>
          <w:rFonts w:ascii="Verdana" w:hAnsi="Verdana"/>
          <w:sz w:val="24"/>
          <w:szCs w:val="24"/>
        </w:rPr>
        <w:t>The ESAC offers a commendation for exhibiting internationally.</w:t>
      </w:r>
    </w:p>
    <w:p w:rsidR="00C33A60" w:rsidRDefault="00C33A60" w:rsidP="00C33A60">
      <w:pPr>
        <w:spacing w:after="0" w:line="240" w:lineRule="auto"/>
        <w:rPr>
          <w:b/>
          <w:color w:val="FF0000"/>
          <w:u w:val="single"/>
        </w:rPr>
      </w:pPr>
    </w:p>
    <w:p w:rsidR="00C33A60" w:rsidRDefault="00C33A60" w:rsidP="00C33A60">
      <w:pPr>
        <w:spacing w:after="0" w:line="240" w:lineRule="auto"/>
        <w:rPr>
          <w:b/>
          <w:color w:val="FF0000"/>
          <w:u w:val="single"/>
        </w:rPr>
      </w:pPr>
    </w:p>
    <w:p w:rsidR="00C33A60" w:rsidRDefault="00C33A60" w:rsidP="00C33A60">
      <w:pPr>
        <w:spacing w:after="0" w:line="240" w:lineRule="auto"/>
        <w:rPr>
          <w:b/>
          <w:color w:val="FF0000"/>
          <w:u w:val="single"/>
        </w:rPr>
      </w:pPr>
    </w:p>
    <w:p w:rsidR="00C33A60" w:rsidRDefault="00C33A60" w:rsidP="00C33A60">
      <w:pPr>
        <w:spacing w:after="0" w:line="240" w:lineRule="auto"/>
        <w:rPr>
          <w:b/>
          <w:color w:val="FF0000"/>
          <w:u w:val="single"/>
        </w:rPr>
      </w:pPr>
    </w:p>
    <w:p w:rsidR="00C33A60" w:rsidRDefault="00C33A60" w:rsidP="00C33A60">
      <w:pPr>
        <w:spacing w:after="0" w:line="240" w:lineRule="auto"/>
        <w:rPr>
          <w:b/>
          <w:color w:val="FF0000"/>
          <w:u w:val="single"/>
        </w:rPr>
      </w:pPr>
    </w:p>
    <w:p w:rsidR="00C33A60" w:rsidRPr="00C937E0" w:rsidRDefault="00C33A60" w:rsidP="00ED04C7">
      <w:pPr>
        <w:pStyle w:val="Heading1"/>
      </w:pPr>
      <w:bookmarkStart w:id="0" w:name="_GoBack"/>
      <w:r w:rsidRPr="00C937E0">
        <w:t>RECOMMENDATIONS:</w:t>
      </w:r>
    </w:p>
    <w:bookmarkEnd w:id="0"/>
    <w:p w:rsidR="00C33A60" w:rsidRPr="00C937E0" w:rsidRDefault="00C33A60" w:rsidP="00C33A60">
      <w:pPr>
        <w:pStyle w:val="NoSpacing"/>
        <w:rPr>
          <w:rFonts w:ascii="Verdana" w:hAnsi="Verdana"/>
          <w:sz w:val="24"/>
          <w:szCs w:val="24"/>
        </w:rPr>
      </w:pPr>
    </w:p>
    <w:p w:rsidR="00B64BF5" w:rsidRDefault="00C33A60" w:rsidP="00B64BF5">
      <w:pPr>
        <w:pStyle w:val="NoSpacing"/>
        <w:rPr>
          <w:rFonts w:ascii="Verdana" w:hAnsi="Verdana"/>
          <w:b/>
          <w:sz w:val="24"/>
          <w:szCs w:val="24"/>
        </w:rPr>
      </w:pPr>
      <w:r w:rsidRPr="004906B3">
        <w:rPr>
          <w:rFonts w:ascii="Verdana" w:hAnsi="Verdana" w:cs="Arial"/>
          <w:b/>
          <w:color w:val="000000"/>
          <w:sz w:val="24"/>
          <w:szCs w:val="24"/>
        </w:rPr>
        <w:t xml:space="preserve">Consistent with </w:t>
      </w:r>
      <w:r w:rsidRPr="004906B3">
        <w:rPr>
          <w:rFonts w:ascii="Verdana" w:hAnsi="Verdana"/>
          <w:b/>
          <w:sz w:val="24"/>
          <w:szCs w:val="24"/>
        </w:rPr>
        <w:t xml:space="preserve">The </w:t>
      </w:r>
      <w:r w:rsidRPr="004906B3">
        <w:rPr>
          <w:rFonts w:ascii="Verdana" w:hAnsi="Arial" w:cs="Arial"/>
          <w:b/>
          <w:sz w:val="24"/>
          <w:szCs w:val="24"/>
        </w:rPr>
        <w:t>​</w:t>
      </w:r>
      <w:r w:rsidRPr="004906B3">
        <w:rPr>
          <w:rFonts w:ascii="Verdana" w:hAnsi="Verdana"/>
          <w:b/>
          <w:sz w:val="24"/>
          <w:szCs w:val="24"/>
        </w:rPr>
        <w:t>Act to Promote the Education of the Blind (1879), the Educational Services Advisory Committee (ESAC) recommends that APH:</w:t>
      </w:r>
      <w:r w:rsidR="00B64BF5">
        <w:rPr>
          <w:rFonts w:ascii="Verdana" w:hAnsi="Verdana"/>
          <w:b/>
          <w:sz w:val="24"/>
          <w:szCs w:val="24"/>
        </w:rPr>
        <w:t xml:space="preserve"> </w:t>
      </w:r>
    </w:p>
    <w:p w:rsidR="00B64BF5" w:rsidRDefault="00B64BF5" w:rsidP="00B64BF5">
      <w:pPr>
        <w:pStyle w:val="NoSpacing"/>
        <w:rPr>
          <w:rFonts w:ascii="Verdana" w:hAnsi="Verdana"/>
          <w:b/>
          <w:sz w:val="24"/>
          <w:szCs w:val="24"/>
        </w:rPr>
      </w:pPr>
    </w:p>
    <w:p w:rsidR="00C33A60" w:rsidRPr="00B64BF5" w:rsidRDefault="00B64BF5" w:rsidP="00B64BF5">
      <w:pPr>
        <w:pStyle w:val="NoSpacing"/>
        <w:rPr>
          <w:rFonts w:ascii="Verdana" w:hAnsi="Verdana"/>
          <w:b/>
          <w:sz w:val="24"/>
          <w:szCs w:val="24"/>
        </w:rPr>
      </w:pPr>
      <w:r w:rsidRPr="00B64BF5">
        <w:rPr>
          <w:rFonts w:ascii="Verdana" w:hAnsi="Verdana"/>
          <w:sz w:val="24"/>
          <w:szCs w:val="24"/>
        </w:rPr>
        <w:t>1.</w:t>
      </w:r>
      <w:r>
        <w:rPr>
          <w:rFonts w:ascii="Verdana" w:hAnsi="Verdana"/>
          <w:b/>
          <w:sz w:val="24"/>
          <w:szCs w:val="24"/>
        </w:rPr>
        <w:t xml:space="preserve"> </w:t>
      </w:r>
      <w:r w:rsidRPr="00B64BF5">
        <w:rPr>
          <w:rFonts w:ascii="Verdana" w:hAnsi="Verdana"/>
          <w:sz w:val="24"/>
          <w:szCs w:val="24"/>
        </w:rPr>
        <w:t xml:space="preserve">In </w:t>
      </w:r>
      <w:r w:rsidR="00C33A60" w:rsidRPr="00B64BF5">
        <w:rPr>
          <w:rFonts w:ascii="Verdana" w:hAnsi="Verdana"/>
          <w:sz w:val="24"/>
          <w:szCs w:val="24"/>
        </w:rPr>
        <w:t>order to build the capacity for family engagement, collaborate with experts in the field of family-school partnerships. Consider gathering a focus group of national organizations such as the National Organization of Parents of Blind Children (NOPBC) and the National Association of Parents of Children with Visual Impairments (NAPVI) informing them of who APH is and what it has to offer.</w:t>
      </w:r>
    </w:p>
    <w:p w:rsidR="00C33A60" w:rsidRPr="00C33A60" w:rsidRDefault="00C33A60" w:rsidP="00C33A60">
      <w:pPr>
        <w:pStyle w:val="ListParagraph"/>
        <w:spacing w:after="0" w:line="240" w:lineRule="auto"/>
        <w:ind w:left="1440"/>
        <w:rPr>
          <w:rFonts w:ascii="Verdana" w:hAnsi="Verdana"/>
          <w:sz w:val="8"/>
          <w:szCs w:val="8"/>
        </w:rPr>
      </w:pPr>
    </w:p>
    <w:p w:rsidR="00C33A60" w:rsidRPr="00C33A60" w:rsidRDefault="00B64BF5" w:rsidP="00C33A60">
      <w:pPr>
        <w:spacing w:after="0" w:line="240" w:lineRule="auto"/>
        <w:rPr>
          <w:rFonts w:ascii="Verdana" w:hAnsi="Verdana"/>
          <w:sz w:val="24"/>
          <w:szCs w:val="24"/>
        </w:rPr>
      </w:pPr>
      <w:r>
        <w:rPr>
          <w:rFonts w:ascii="Verdana" w:hAnsi="Verdana"/>
          <w:sz w:val="24"/>
          <w:szCs w:val="24"/>
        </w:rPr>
        <w:t xml:space="preserve">2. </w:t>
      </w:r>
      <w:r w:rsidR="00C33A60" w:rsidRPr="00C33A60">
        <w:rPr>
          <w:rFonts w:ascii="Verdana" w:hAnsi="Verdana"/>
          <w:sz w:val="24"/>
          <w:szCs w:val="24"/>
        </w:rPr>
        <w:t xml:space="preserve">In accordance with the 2017 APH Strategic Plan, prioritize and fund a minimum of one regional representative within one year. </w:t>
      </w:r>
    </w:p>
    <w:p w:rsidR="00C33A60" w:rsidRPr="00C33A60" w:rsidRDefault="00C33A60" w:rsidP="00C33A60">
      <w:pPr>
        <w:spacing w:after="0" w:line="240" w:lineRule="auto"/>
        <w:rPr>
          <w:rFonts w:ascii="Verdana" w:hAnsi="Verdana"/>
          <w:sz w:val="8"/>
          <w:szCs w:val="8"/>
        </w:rPr>
      </w:pPr>
    </w:p>
    <w:p w:rsidR="00C33A60" w:rsidRPr="00C33A60" w:rsidRDefault="00B64BF5" w:rsidP="00C33A60">
      <w:pPr>
        <w:spacing w:after="0" w:line="240" w:lineRule="auto"/>
        <w:rPr>
          <w:rFonts w:ascii="Verdana" w:hAnsi="Verdana"/>
          <w:sz w:val="24"/>
          <w:szCs w:val="24"/>
        </w:rPr>
      </w:pPr>
      <w:r>
        <w:rPr>
          <w:rFonts w:ascii="Verdana" w:hAnsi="Verdana"/>
          <w:sz w:val="24"/>
          <w:szCs w:val="24"/>
        </w:rPr>
        <w:t xml:space="preserve">3. </w:t>
      </w:r>
      <w:r w:rsidR="00C33A60" w:rsidRPr="00C33A60">
        <w:rPr>
          <w:rFonts w:ascii="Verdana" w:hAnsi="Verdana"/>
          <w:sz w:val="24"/>
          <w:szCs w:val="24"/>
        </w:rPr>
        <w:t>Develop virtual tours of APH which can be shared with stakeholders (including university programs) highlighting the features of APH such as the transcription process, technology, the manufacturing plant, the APH history, Museum exhibits, etc.</w:t>
      </w:r>
    </w:p>
    <w:p w:rsidR="00C33A60" w:rsidRPr="00C33A60" w:rsidRDefault="00C33A60" w:rsidP="00C33A60">
      <w:pPr>
        <w:spacing w:after="0" w:line="240" w:lineRule="auto"/>
        <w:rPr>
          <w:rFonts w:ascii="Verdana" w:hAnsi="Verdana"/>
          <w:sz w:val="8"/>
          <w:szCs w:val="8"/>
        </w:rPr>
      </w:pPr>
    </w:p>
    <w:p w:rsidR="00C33A60" w:rsidRPr="00C33A60" w:rsidRDefault="00B64BF5" w:rsidP="00C33A60">
      <w:pPr>
        <w:spacing w:after="0" w:line="240" w:lineRule="auto"/>
        <w:rPr>
          <w:rFonts w:ascii="Verdana" w:hAnsi="Verdana"/>
          <w:sz w:val="24"/>
          <w:szCs w:val="24"/>
        </w:rPr>
      </w:pPr>
      <w:r>
        <w:rPr>
          <w:rFonts w:ascii="Verdana" w:hAnsi="Verdana"/>
          <w:sz w:val="24"/>
          <w:szCs w:val="24"/>
        </w:rPr>
        <w:t xml:space="preserve">4. </w:t>
      </w:r>
      <w:r w:rsidR="00C33A60" w:rsidRPr="00C33A60">
        <w:rPr>
          <w:rFonts w:ascii="Verdana" w:hAnsi="Verdana"/>
          <w:sz w:val="24"/>
          <w:szCs w:val="24"/>
        </w:rPr>
        <w:t>To further enhance the training for new Ex Officio Trustees, provide additional in-depth information about policies, procedures, and EOT responsibilities by developing follow-up activities. Examples may include teleconferencing and optimizing use of the listserv. Offer these trainings to existing EOTs as refresher courses and collect feedback from EOTs for the benefit of program improvement.</w:t>
      </w:r>
    </w:p>
    <w:p w:rsidR="00C33A60" w:rsidRPr="00C33A60" w:rsidRDefault="00C33A60" w:rsidP="00C33A60">
      <w:pPr>
        <w:spacing w:after="0" w:line="240" w:lineRule="auto"/>
        <w:rPr>
          <w:rFonts w:ascii="Verdana" w:hAnsi="Verdana"/>
          <w:sz w:val="24"/>
          <w:szCs w:val="24"/>
        </w:rPr>
      </w:pPr>
    </w:p>
    <w:p w:rsidR="00C33A60" w:rsidRPr="00C33A60" w:rsidRDefault="00B64BF5" w:rsidP="00C33A60">
      <w:pPr>
        <w:spacing w:after="0" w:line="240" w:lineRule="auto"/>
        <w:ind w:left="360"/>
        <w:rPr>
          <w:rFonts w:ascii="Verdana" w:hAnsi="Verdana"/>
          <w:sz w:val="24"/>
          <w:szCs w:val="24"/>
        </w:rPr>
      </w:pPr>
      <w:r>
        <w:rPr>
          <w:rFonts w:ascii="Verdana" w:hAnsi="Verdana"/>
          <w:sz w:val="24"/>
          <w:szCs w:val="24"/>
        </w:rPr>
        <w:lastRenderedPageBreak/>
        <w:t xml:space="preserve">5. </w:t>
      </w:r>
      <w:r w:rsidR="00C33A60" w:rsidRPr="00C33A60">
        <w:rPr>
          <w:rFonts w:ascii="Verdana" w:hAnsi="Verdana"/>
          <w:sz w:val="24"/>
          <w:szCs w:val="24"/>
        </w:rPr>
        <w:t>Utilize the EOTs to educate stakeholders about The Act and APH products and services. Select a small number of APH products and services to highlight each year. Support this initiative by providing presentation materials to EOTs. (For example: take a few minutes of each General Session during the Annual Meeting to promote a product or service).</w:t>
      </w:r>
    </w:p>
    <w:p w:rsidR="00C33A60" w:rsidRPr="00C33A60" w:rsidRDefault="00C33A60" w:rsidP="00C33A60">
      <w:pPr>
        <w:spacing w:after="0" w:line="240" w:lineRule="auto"/>
        <w:rPr>
          <w:rFonts w:ascii="Verdana" w:hAnsi="Verdana"/>
          <w:sz w:val="8"/>
          <w:szCs w:val="8"/>
        </w:rPr>
      </w:pPr>
      <w:r w:rsidRPr="00C33A60">
        <w:rPr>
          <w:rFonts w:ascii="Verdana" w:hAnsi="Verdana"/>
          <w:sz w:val="24"/>
          <w:szCs w:val="24"/>
        </w:rPr>
        <w:t xml:space="preserve"> </w:t>
      </w:r>
    </w:p>
    <w:p w:rsidR="00C33A60" w:rsidRPr="00C33A60" w:rsidRDefault="00B64BF5" w:rsidP="00C33A60">
      <w:pPr>
        <w:spacing w:after="0" w:line="240" w:lineRule="auto"/>
        <w:ind w:left="360"/>
        <w:rPr>
          <w:rFonts w:ascii="Verdana" w:hAnsi="Verdana"/>
          <w:sz w:val="24"/>
          <w:szCs w:val="24"/>
        </w:rPr>
      </w:pPr>
      <w:r>
        <w:rPr>
          <w:rFonts w:ascii="Verdana" w:hAnsi="Verdana"/>
          <w:sz w:val="24"/>
          <w:szCs w:val="24"/>
        </w:rPr>
        <w:t xml:space="preserve">6. </w:t>
      </w:r>
      <w:r w:rsidR="00C33A60" w:rsidRPr="00C33A60">
        <w:rPr>
          <w:rFonts w:ascii="Verdana" w:hAnsi="Verdana"/>
          <w:sz w:val="24"/>
          <w:szCs w:val="24"/>
        </w:rPr>
        <w:t xml:space="preserve">Offer major, promotional product roll-outs including brochures, Quick Start Guides, and one-to-two minute videos demonstrating the use of products. </w:t>
      </w:r>
    </w:p>
    <w:p w:rsidR="00C33A60" w:rsidRPr="00C33A60" w:rsidRDefault="00C33A60" w:rsidP="00C33A60">
      <w:pPr>
        <w:spacing w:after="0" w:line="240" w:lineRule="auto"/>
        <w:rPr>
          <w:rFonts w:ascii="Verdana" w:hAnsi="Verdana"/>
          <w:sz w:val="8"/>
          <w:szCs w:val="8"/>
        </w:rPr>
      </w:pPr>
    </w:p>
    <w:p w:rsidR="00C33A60" w:rsidRPr="00C33A60" w:rsidRDefault="00B64BF5" w:rsidP="00C33A60">
      <w:pPr>
        <w:spacing w:after="0" w:line="240" w:lineRule="auto"/>
        <w:ind w:left="360"/>
        <w:rPr>
          <w:rFonts w:ascii="Verdana" w:hAnsi="Verdana"/>
          <w:sz w:val="24"/>
          <w:szCs w:val="24"/>
        </w:rPr>
      </w:pPr>
      <w:r>
        <w:rPr>
          <w:rFonts w:ascii="Verdana" w:hAnsi="Verdana"/>
          <w:sz w:val="24"/>
          <w:szCs w:val="24"/>
        </w:rPr>
        <w:t xml:space="preserve">7. </w:t>
      </w:r>
      <w:r w:rsidR="00C33A60" w:rsidRPr="00C33A60">
        <w:rPr>
          <w:rFonts w:ascii="Verdana" w:hAnsi="Verdana"/>
          <w:sz w:val="24"/>
          <w:szCs w:val="24"/>
        </w:rPr>
        <w:t xml:space="preserve">Expand ways to utilize and involve EOTs and past APH Scholars through unique networking opportunities. </w:t>
      </w:r>
    </w:p>
    <w:p w:rsidR="00C33A60" w:rsidRPr="00C33A60" w:rsidRDefault="00C33A60" w:rsidP="00C33A60">
      <w:pPr>
        <w:spacing w:after="0" w:line="240" w:lineRule="auto"/>
        <w:ind w:left="360"/>
        <w:rPr>
          <w:rFonts w:ascii="Verdana" w:hAnsi="Verdana"/>
          <w:sz w:val="8"/>
          <w:szCs w:val="8"/>
        </w:rPr>
      </w:pPr>
    </w:p>
    <w:p w:rsidR="00C33A60" w:rsidRPr="00C33A60" w:rsidRDefault="00B64BF5" w:rsidP="00C33A60">
      <w:pPr>
        <w:spacing w:after="0" w:line="240" w:lineRule="auto"/>
        <w:ind w:left="360"/>
        <w:rPr>
          <w:rFonts w:ascii="Verdana" w:hAnsi="Verdana"/>
          <w:sz w:val="24"/>
          <w:szCs w:val="24"/>
        </w:rPr>
      </w:pPr>
      <w:r>
        <w:rPr>
          <w:rFonts w:ascii="Verdana" w:hAnsi="Verdana"/>
          <w:sz w:val="24"/>
          <w:szCs w:val="24"/>
        </w:rPr>
        <w:t xml:space="preserve">8. </w:t>
      </w:r>
      <w:r w:rsidR="00C33A60" w:rsidRPr="00C33A60">
        <w:rPr>
          <w:rFonts w:ascii="Verdana" w:hAnsi="Verdana"/>
          <w:sz w:val="24"/>
          <w:szCs w:val="24"/>
        </w:rPr>
        <w:t>Develop “Marketing Kits” enabling EOTS to fulfill their responsibilities of promoting APH products. Kits may include items such as a tablecloth, banner, branded marketing materials, and a usage log. Provide an option for accounts to buy or loan the kits.</w:t>
      </w:r>
    </w:p>
    <w:p w:rsidR="00C33A60" w:rsidRPr="00C33A60" w:rsidRDefault="00C33A60" w:rsidP="00C33A60">
      <w:pPr>
        <w:spacing w:after="0" w:line="240" w:lineRule="auto"/>
        <w:rPr>
          <w:rFonts w:ascii="Verdana" w:hAnsi="Verdana"/>
          <w:sz w:val="8"/>
          <w:szCs w:val="8"/>
          <w:highlight w:val="yellow"/>
        </w:rPr>
      </w:pPr>
    </w:p>
    <w:p w:rsidR="00C33A60" w:rsidRPr="00C33A60" w:rsidRDefault="00B64BF5" w:rsidP="00C33A60">
      <w:pPr>
        <w:spacing w:after="0" w:line="240" w:lineRule="auto"/>
        <w:ind w:left="360"/>
        <w:rPr>
          <w:rFonts w:ascii="Verdana" w:hAnsi="Verdana"/>
          <w:sz w:val="24"/>
          <w:szCs w:val="24"/>
        </w:rPr>
      </w:pPr>
      <w:r>
        <w:rPr>
          <w:rFonts w:ascii="Verdana" w:hAnsi="Verdana"/>
          <w:sz w:val="24"/>
          <w:szCs w:val="24"/>
        </w:rPr>
        <w:t xml:space="preserve">9. </w:t>
      </w:r>
      <w:r w:rsidR="00C33A60" w:rsidRPr="00C33A60">
        <w:rPr>
          <w:rFonts w:ascii="Verdana" w:hAnsi="Verdana"/>
          <w:sz w:val="24"/>
          <w:szCs w:val="24"/>
        </w:rPr>
        <w:t xml:space="preserve">Improve search engine optimization so that APH ranks near the top of search-engine results. </w:t>
      </w:r>
    </w:p>
    <w:p w:rsidR="00C33A60" w:rsidRPr="00C33A60" w:rsidRDefault="00C33A60" w:rsidP="00C33A60">
      <w:pPr>
        <w:spacing w:after="0" w:line="240" w:lineRule="auto"/>
        <w:rPr>
          <w:rFonts w:ascii="Verdana" w:hAnsi="Verdana"/>
          <w:sz w:val="8"/>
          <w:szCs w:val="8"/>
        </w:rPr>
      </w:pPr>
    </w:p>
    <w:p w:rsidR="00C33A60" w:rsidRPr="00C33A60" w:rsidRDefault="00B64BF5" w:rsidP="00C33A60">
      <w:pPr>
        <w:spacing w:after="0" w:line="240" w:lineRule="auto"/>
        <w:ind w:left="360"/>
        <w:rPr>
          <w:rFonts w:ascii="Verdana" w:hAnsi="Verdana"/>
          <w:sz w:val="24"/>
          <w:szCs w:val="24"/>
        </w:rPr>
      </w:pPr>
      <w:r>
        <w:rPr>
          <w:rFonts w:ascii="Verdana" w:hAnsi="Verdana"/>
          <w:sz w:val="24"/>
          <w:szCs w:val="24"/>
        </w:rPr>
        <w:t xml:space="preserve">10. </w:t>
      </w:r>
      <w:r w:rsidR="00C33A60" w:rsidRPr="00C33A60">
        <w:rPr>
          <w:rFonts w:ascii="Verdana" w:hAnsi="Verdana"/>
          <w:sz w:val="24"/>
          <w:szCs w:val="24"/>
        </w:rPr>
        <w:t xml:space="preserve">Continue to develop partnerships with other organizations as it relates to accessibility and integration of </w:t>
      </w:r>
      <w:r w:rsidR="00C33A60" w:rsidRPr="00C33A60">
        <w:rPr>
          <w:rFonts w:ascii="Verdana" w:hAnsi="Verdana"/>
          <w:i/>
          <w:sz w:val="24"/>
          <w:szCs w:val="24"/>
        </w:rPr>
        <w:t>new</w:t>
      </w:r>
      <w:r w:rsidR="00C33A60" w:rsidRPr="00C33A60">
        <w:rPr>
          <w:rFonts w:ascii="Verdana" w:hAnsi="Verdana"/>
          <w:sz w:val="24"/>
          <w:szCs w:val="24"/>
        </w:rPr>
        <w:t xml:space="preserve"> technology and software (include </w:t>
      </w:r>
      <w:proofErr w:type="spellStart"/>
      <w:r w:rsidR="00C33A60" w:rsidRPr="00C33A60">
        <w:rPr>
          <w:rFonts w:ascii="Verdana" w:hAnsi="Verdana"/>
          <w:sz w:val="24"/>
          <w:szCs w:val="24"/>
        </w:rPr>
        <w:t>Liblouis</w:t>
      </w:r>
      <w:proofErr w:type="spellEnd"/>
      <w:r w:rsidR="00C33A60" w:rsidRPr="00C33A60">
        <w:rPr>
          <w:rFonts w:ascii="Verdana" w:hAnsi="Verdana"/>
          <w:sz w:val="24"/>
          <w:szCs w:val="24"/>
        </w:rPr>
        <w:t xml:space="preserve">, web apps, cross platform options, actions and skills, etc.) </w:t>
      </w:r>
    </w:p>
    <w:p w:rsidR="00C33A60" w:rsidRPr="00C33A60" w:rsidRDefault="00C33A60" w:rsidP="00C33A60">
      <w:pPr>
        <w:pStyle w:val="ListParagraph"/>
        <w:spacing w:after="0" w:line="240" w:lineRule="auto"/>
        <w:rPr>
          <w:rFonts w:ascii="Verdana" w:hAnsi="Verdana"/>
          <w:sz w:val="8"/>
          <w:szCs w:val="8"/>
        </w:rPr>
      </w:pPr>
    </w:p>
    <w:p w:rsidR="00C33A60" w:rsidRPr="00C33A60" w:rsidRDefault="00B64BF5" w:rsidP="00C33A60">
      <w:pPr>
        <w:spacing w:after="0" w:line="240" w:lineRule="auto"/>
        <w:ind w:left="360"/>
        <w:rPr>
          <w:rFonts w:ascii="Verdana" w:hAnsi="Verdana"/>
          <w:sz w:val="24"/>
          <w:szCs w:val="24"/>
        </w:rPr>
      </w:pPr>
      <w:r>
        <w:rPr>
          <w:rFonts w:ascii="Verdana" w:hAnsi="Verdana"/>
          <w:sz w:val="24"/>
          <w:szCs w:val="24"/>
        </w:rPr>
        <w:t xml:space="preserve">11. </w:t>
      </w:r>
      <w:r w:rsidR="00C33A60" w:rsidRPr="00C33A60">
        <w:rPr>
          <w:rFonts w:ascii="Verdana" w:hAnsi="Verdana"/>
          <w:sz w:val="24"/>
          <w:szCs w:val="24"/>
        </w:rPr>
        <w:t xml:space="preserve">Prioritize the Core Business Strategy (Quota and The Act) by involving Field Services in the collection of information and feedback to support the Vision of APH becoming the “go to” provider. </w:t>
      </w:r>
    </w:p>
    <w:p w:rsidR="00C33A60" w:rsidRPr="00C33A60" w:rsidRDefault="00C33A60" w:rsidP="00C33A60">
      <w:pPr>
        <w:spacing w:after="0" w:line="240" w:lineRule="auto"/>
        <w:rPr>
          <w:rFonts w:ascii="Verdana" w:hAnsi="Verdana"/>
          <w:sz w:val="8"/>
          <w:szCs w:val="8"/>
        </w:rPr>
      </w:pPr>
    </w:p>
    <w:p w:rsidR="00C33A60" w:rsidRPr="00C33A60" w:rsidRDefault="00B64BF5" w:rsidP="00C33A60">
      <w:pPr>
        <w:spacing w:after="0" w:line="240" w:lineRule="auto"/>
        <w:ind w:left="360"/>
        <w:rPr>
          <w:rFonts w:ascii="Verdana" w:hAnsi="Verdana"/>
          <w:sz w:val="24"/>
          <w:szCs w:val="24"/>
        </w:rPr>
      </w:pPr>
      <w:r>
        <w:rPr>
          <w:rFonts w:ascii="Verdana" w:hAnsi="Verdana"/>
          <w:sz w:val="24"/>
          <w:szCs w:val="24"/>
        </w:rPr>
        <w:t xml:space="preserve">12. </w:t>
      </w:r>
      <w:r w:rsidR="00C33A60" w:rsidRPr="00C33A60">
        <w:rPr>
          <w:rFonts w:ascii="Verdana" w:hAnsi="Verdana"/>
          <w:sz w:val="24"/>
          <w:szCs w:val="24"/>
        </w:rPr>
        <w:t>Consider the complexity involved when simultaneously implementing multiple initiatives such as revising the APH website and updating the shopping site.</w:t>
      </w:r>
    </w:p>
    <w:p w:rsidR="004A10FE" w:rsidRPr="00C33A60" w:rsidRDefault="004A10FE" w:rsidP="00C33A60">
      <w:pPr>
        <w:rPr>
          <w:rFonts w:ascii="Verdana" w:hAnsi="Verdana"/>
          <w:sz w:val="24"/>
          <w:szCs w:val="24"/>
        </w:rPr>
      </w:pPr>
    </w:p>
    <w:sectPr w:rsidR="004A10FE" w:rsidRPr="00C33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613"/>
    <w:multiLevelType w:val="hybridMultilevel"/>
    <w:tmpl w:val="CA12CDB0"/>
    <w:lvl w:ilvl="0" w:tplc="7D2C73AE">
      <w:start w:val="1"/>
      <w:numFmt w:val="decimal"/>
      <w:lvlText w:val="%1."/>
      <w:lvlJc w:val="left"/>
      <w:pPr>
        <w:ind w:left="720" w:hanging="360"/>
      </w:pPr>
      <w:rPr>
        <w:rFonts w:asciiTheme="minorHAnsi" w:eastAsiaTheme="minorHAnsi" w:hAnsiTheme="minorHAnsi" w:cstheme="minorBidi"/>
        <w:color w:val="723E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0088"/>
    <w:multiLevelType w:val="hybridMultilevel"/>
    <w:tmpl w:val="15AA6A6A"/>
    <w:lvl w:ilvl="0" w:tplc="F3D02DCA">
      <w:start w:val="1"/>
      <w:numFmt w:val="decimal"/>
      <w:lvlText w:val="%1."/>
      <w:lvlJc w:val="left"/>
      <w:pPr>
        <w:ind w:left="720" w:hanging="360"/>
      </w:pPr>
      <w:rPr>
        <w:rFonts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B0376"/>
    <w:multiLevelType w:val="hybridMultilevel"/>
    <w:tmpl w:val="EEFC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037A5"/>
    <w:multiLevelType w:val="hybridMultilevel"/>
    <w:tmpl w:val="2780C30A"/>
    <w:lvl w:ilvl="0" w:tplc="5CB4FB16">
      <w:start w:val="1"/>
      <w:numFmt w:val="decimal"/>
      <w:lvlText w:val="%1."/>
      <w:lvlJc w:val="left"/>
      <w:pPr>
        <w:ind w:left="720" w:hanging="360"/>
      </w:pPr>
      <w:rPr>
        <w:rFonts w:asciiTheme="minorHAnsi" w:hAnsiTheme="minorHAnsi" w:hint="default"/>
        <w:b/>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909EA"/>
    <w:multiLevelType w:val="hybridMultilevel"/>
    <w:tmpl w:val="ED825736"/>
    <w:lvl w:ilvl="0" w:tplc="7710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7705D"/>
    <w:multiLevelType w:val="hybridMultilevel"/>
    <w:tmpl w:val="0388E000"/>
    <w:lvl w:ilvl="0" w:tplc="A01A8D16">
      <w:start w:val="10"/>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200BA"/>
    <w:multiLevelType w:val="hybridMultilevel"/>
    <w:tmpl w:val="76401904"/>
    <w:lvl w:ilvl="0" w:tplc="346C5C3A">
      <w:start w:val="4"/>
      <w:numFmt w:val="decimal"/>
      <w:lvlText w:val="%1."/>
      <w:lvlJc w:val="left"/>
      <w:pPr>
        <w:ind w:left="720" w:hanging="360"/>
      </w:pPr>
      <w:rPr>
        <w:rFonts w:hint="default"/>
        <w:color w:val="723E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F6638"/>
    <w:multiLevelType w:val="hybridMultilevel"/>
    <w:tmpl w:val="5E9C1A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F2BBD"/>
    <w:multiLevelType w:val="hybridMultilevel"/>
    <w:tmpl w:val="C5247EF8"/>
    <w:lvl w:ilvl="0" w:tplc="C3985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30049"/>
    <w:multiLevelType w:val="hybridMultilevel"/>
    <w:tmpl w:val="E202E95A"/>
    <w:lvl w:ilvl="0" w:tplc="26DE8C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52921"/>
    <w:multiLevelType w:val="hybridMultilevel"/>
    <w:tmpl w:val="752E00C6"/>
    <w:lvl w:ilvl="0" w:tplc="C0E0F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C5680"/>
    <w:multiLevelType w:val="hybridMultilevel"/>
    <w:tmpl w:val="7C62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87AA4"/>
    <w:multiLevelType w:val="hybridMultilevel"/>
    <w:tmpl w:val="466E67CA"/>
    <w:lvl w:ilvl="0" w:tplc="F9BE7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084D99"/>
    <w:multiLevelType w:val="hybridMultilevel"/>
    <w:tmpl w:val="DAD4B00C"/>
    <w:lvl w:ilvl="0" w:tplc="E79C0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45F7B"/>
    <w:multiLevelType w:val="hybridMultilevel"/>
    <w:tmpl w:val="4800B1F0"/>
    <w:lvl w:ilvl="0" w:tplc="66C28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11"/>
  </w:num>
  <w:num w:numId="6">
    <w:abstractNumId w:val="2"/>
  </w:num>
  <w:num w:numId="7">
    <w:abstractNumId w:val="1"/>
  </w:num>
  <w:num w:numId="8">
    <w:abstractNumId w:val="4"/>
  </w:num>
  <w:num w:numId="9">
    <w:abstractNumId w:val="14"/>
  </w:num>
  <w:num w:numId="10">
    <w:abstractNumId w:val="10"/>
  </w:num>
  <w:num w:numId="11">
    <w:abstractNumId w:val="8"/>
  </w:num>
  <w:num w:numId="12">
    <w:abstractNumId w:val="12"/>
  </w:num>
  <w:num w:numId="13">
    <w:abstractNumId w:val="3"/>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60"/>
    <w:rsid w:val="002B0A62"/>
    <w:rsid w:val="004A10FE"/>
    <w:rsid w:val="00B64BF5"/>
    <w:rsid w:val="00C33A60"/>
    <w:rsid w:val="00CF451E"/>
    <w:rsid w:val="00D13D27"/>
    <w:rsid w:val="00ED04C7"/>
    <w:rsid w:val="00E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5416A-9816-45B2-A9D4-1CEF84C7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A60"/>
  </w:style>
  <w:style w:type="paragraph" w:styleId="Heading1">
    <w:name w:val="heading 1"/>
    <w:basedOn w:val="NoSpacing"/>
    <w:next w:val="Normal"/>
    <w:link w:val="Heading1Char"/>
    <w:uiPriority w:val="9"/>
    <w:qFormat/>
    <w:rsid w:val="00ED04C7"/>
    <w:pPr>
      <w:outlineLvl w:val="0"/>
    </w:pPr>
    <w:rPr>
      <w:rFonts w:ascii="Verdana" w:hAnsi="Verdan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A60"/>
    <w:pPr>
      <w:ind w:left="720"/>
      <w:contextualSpacing/>
    </w:pPr>
  </w:style>
  <w:style w:type="paragraph" w:styleId="NoSpacing">
    <w:name w:val="No Spacing"/>
    <w:uiPriority w:val="1"/>
    <w:qFormat/>
    <w:rsid w:val="00C33A60"/>
    <w:pPr>
      <w:spacing w:after="0" w:line="240" w:lineRule="auto"/>
    </w:pPr>
  </w:style>
  <w:style w:type="paragraph" w:styleId="BalloonText">
    <w:name w:val="Balloon Text"/>
    <w:basedOn w:val="Normal"/>
    <w:link w:val="BalloonTextChar"/>
    <w:uiPriority w:val="99"/>
    <w:semiHidden/>
    <w:unhideWhenUsed/>
    <w:rsid w:val="004A1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0FE"/>
    <w:rPr>
      <w:rFonts w:ascii="Segoe UI" w:hAnsi="Segoe UI" w:cs="Segoe UI"/>
      <w:sz w:val="18"/>
      <w:szCs w:val="18"/>
    </w:rPr>
  </w:style>
  <w:style w:type="paragraph" w:styleId="Title">
    <w:name w:val="Title"/>
    <w:basedOn w:val="NoSpacing"/>
    <w:next w:val="Normal"/>
    <w:link w:val="TitleChar"/>
    <w:uiPriority w:val="10"/>
    <w:qFormat/>
    <w:rsid w:val="00ED04C7"/>
    <w:pPr>
      <w:jc w:val="center"/>
    </w:pPr>
    <w:rPr>
      <w:rFonts w:ascii="Verdana" w:hAnsi="Verdana"/>
      <w:b/>
      <w:sz w:val="28"/>
      <w:szCs w:val="28"/>
    </w:rPr>
  </w:style>
  <w:style w:type="character" w:customStyle="1" w:styleId="TitleChar">
    <w:name w:val="Title Char"/>
    <w:basedOn w:val="DefaultParagraphFont"/>
    <w:link w:val="Title"/>
    <w:uiPriority w:val="10"/>
    <w:rsid w:val="00ED04C7"/>
    <w:rPr>
      <w:rFonts w:ascii="Verdana" w:hAnsi="Verdana"/>
      <w:b/>
      <w:sz w:val="28"/>
      <w:szCs w:val="28"/>
    </w:rPr>
  </w:style>
  <w:style w:type="character" w:customStyle="1" w:styleId="Heading1Char">
    <w:name w:val="Heading 1 Char"/>
    <w:basedOn w:val="DefaultParagraphFont"/>
    <w:link w:val="Heading1"/>
    <w:uiPriority w:val="9"/>
    <w:rsid w:val="00ED04C7"/>
    <w:rPr>
      <w:rFonts w:ascii="Verdana" w:hAnsi="Verdan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1D23E-6D82-4CDF-B3E0-163247FC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791</Words>
  <Characters>4513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2017-09-21T19:47:00Z</cp:lastPrinted>
  <dcterms:created xsi:type="dcterms:W3CDTF">2017-05-16T15:27:00Z</dcterms:created>
  <dcterms:modified xsi:type="dcterms:W3CDTF">2020-09-28T16:32:00Z</dcterms:modified>
</cp:coreProperties>
</file>