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60" w:rsidRPr="005019CE" w:rsidRDefault="00C33A60" w:rsidP="005019CE">
      <w:pPr>
        <w:pStyle w:val="Title"/>
      </w:pPr>
      <w:r w:rsidRPr="005019CE">
        <w:t>Report of the Educational Services Advisory Committee</w:t>
      </w:r>
    </w:p>
    <w:p w:rsidR="00C33A60" w:rsidRPr="005019CE" w:rsidRDefault="00C33A60" w:rsidP="005019CE">
      <w:pPr>
        <w:pStyle w:val="Title"/>
      </w:pPr>
      <w:proofErr w:type="gramStart"/>
      <w:r w:rsidRPr="005019CE">
        <w:t>to</w:t>
      </w:r>
      <w:proofErr w:type="gramEnd"/>
      <w:r w:rsidRPr="005019CE">
        <w:t xml:space="preserve"> the Trustees of the</w:t>
      </w:r>
    </w:p>
    <w:p w:rsidR="00C33A60" w:rsidRPr="005019CE" w:rsidRDefault="00C33A60" w:rsidP="005019CE">
      <w:pPr>
        <w:pStyle w:val="Title"/>
      </w:pPr>
      <w:r w:rsidRPr="005019CE">
        <w:t>American Printing House for the Blind</w:t>
      </w:r>
    </w:p>
    <w:p w:rsidR="00C33A60" w:rsidRPr="00C937E0" w:rsidRDefault="00203B67" w:rsidP="005019CE">
      <w:pPr>
        <w:pStyle w:val="Title"/>
      </w:pPr>
      <w:r w:rsidRPr="005019CE">
        <w:t>Fiscal Year 2018</w:t>
      </w:r>
    </w:p>
    <w:p w:rsidR="00E64FAC" w:rsidRDefault="00E64FAC" w:rsidP="00C33A60">
      <w:pPr>
        <w:pStyle w:val="NoSpacing"/>
        <w:rPr>
          <w:rFonts w:ascii="Verdana" w:hAnsi="Verdana"/>
          <w:sz w:val="24"/>
          <w:szCs w:val="24"/>
        </w:rPr>
      </w:pPr>
    </w:p>
    <w:p w:rsidR="009F25DF" w:rsidRPr="00C937E0" w:rsidRDefault="009F25DF" w:rsidP="00C33A60">
      <w:pPr>
        <w:pStyle w:val="NoSpacing"/>
        <w:rPr>
          <w:rFonts w:ascii="Verdana" w:hAnsi="Verdana"/>
          <w:sz w:val="24"/>
          <w:szCs w:val="24"/>
        </w:rPr>
      </w:pPr>
    </w:p>
    <w:p w:rsidR="00C33A60" w:rsidRPr="005019CE" w:rsidRDefault="00775693" w:rsidP="005019CE">
      <w:pPr>
        <w:pStyle w:val="Heading1"/>
      </w:pPr>
      <w:r w:rsidRPr="005019CE">
        <w:t>Purpose</w:t>
      </w:r>
    </w:p>
    <w:p w:rsidR="00C33A60" w:rsidRPr="00C937E0" w:rsidRDefault="00C33A60" w:rsidP="00C33A60">
      <w:pPr>
        <w:pStyle w:val="NoSpacing"/>
        <w:rPr>
          <w:rFonts w:ascii="Verdana" w:hAnsi="Verdana" w:cs="Arial"/>
          <w:b/>
          <w:bCs/>
          <w:color w:val="000000"/>
          <w:sz w:val="10"/>
          <w:szCs w:val="10"/>
        </w:rPr>
      </w:pPr>
    </w:p>
    <w:p w:rsidR="00C33A60" w:rsidRDefault="00C33A60" w:rsidP="00C33A60">
      <w:pPr>
        <w:pStyle w:val="NoSpacing"/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>The purpose of the Educational Services Advisory Committee (ESAC) is to:</w:t>
      </w:r>
    </w:p>
    <w:p w:rsidR="00775693" w:rsidRPr="00C937E0" w:rsidRDefault="00775693" w:rsidP="00C33A60">
      <w:pPr>
        <w:pStyle w:val="NoSpacing"/>
        <w:rPr>
          <w:rFonts w:ascii="Verdana" w:hAnsi="Verdana"/>
          <w:sz w:val="24"/>
          <w:szCs w:val="24"/>
        </w:rPr>
      </w:pPr>
    </w:p>
    <w:p w:rsidR="00C33A60" w:rsidRPr="00C937E0" w:rsidRDefault="00C33A60" w:rsidP="00C33A60">
      <w:pPr>
        <w:pStyle w:val="NoSpacing"/>
        <w:numPr>
          <w:ilvl w:val="0"/>
          <w:numId w:val="6"/>
        </w:numPr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 xml:space="preserve">Provide oversight and leadership in the planning, evaluation and delivery of </w:t>
      </w:r>
      <w:r>
        <w:rPr>
          <w:rFonts w:ascii="Verdana" w:hAnsi="Verdana" w:cs="Arial"/>
          <w:color w:val="000000"/>
          <w:sz w:val="24"/>
          <w:szCs w:val="24"/>
        </w:rPr>
        <w:t xml:space="preserve">product-related </w:t>
      </w:r>
      <w:r w:rsidRPr="00C937E0">
        <w:rPr>
          <w:rFonts w:ascii="Verdana" w:hAnsi="Verdana" w:cs="Arial"/>
          <w:color w:val="000000"/>
          <w:sz w:val="24"/>
          <w:szCs w:val="24"/>
        </w:rPr>
        <w:t>services.</w:t>
      </w:r>
    </w:p>
    <w:p w:rsidR="00C33A60" w:rsidRPr="00C937E0" w:rsidRDefault="00C33A60" w:rsidP="00C33A60">
      <w:pPr>
        <w:pStyle w:val="NoSpacing"/>
        <w:numPr>
          <w:ilvl w:val="0"/>
          <w:numId w:val="6"/>
        </w:numPr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>Identify new services needed.</w:t>
      </w:r>
    </w:p>
    <w:p w:rsidR="00C33A60" w:rsidRPr="00C937E0" w:rsidRDefault="00C33A60" w:rsidP="00C33A60">
      <w:pPr>
        <w:pStyle w:val="NoSpacing"/>
        <w:numPr>
          <w:ilvl w:val="0"/>
          <w:numId w:val="6"/>
        </w:numPr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 xml:space="preserve">Assist </w:t>
      </w:r>
      <w:r>
        <w:rPr>
          <w:rFonts w:ascii="Verdana" w:hAnsi="Verdana" w:cs="Arial"/>
          <w:color w:val="000000"/>
          <w:sz w:val="24"/>
          <w:szCs w:val="24"/>
        </w:rPr>
        <w:t xml:space="preserve">in </w:t>
      </w:r>
      <w:r w:rsidRPr="00C937E0">
        <w:rPr>
          <w:rFonts w:ascii="Verdana" w:hAnsi="Verdana" w:cs="Arial"/>
          <w:color w:val="000000"/>
          <w:sz w:val="24"/>
          <w:szCs w:val="24"/>
        </w:rPr>
        <w:t>the promotion of APH products through services, and</w:t>
      </w:r>
    </w:p>
    <w:p w:rsidR="00C33A60" w:rsidRPr="00CE2302" w:rsidRDefault="00C33A60" w:rsidP="00C33A60">
      <w:pPr>
        <w:pStyle w:val="NoSpacing"/>
        <w:numPr>
          <w:ilvl w:val="0"/>
          <w:numId w:val="6"/>
        </w:numPr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 xml:space="preserve">Advise APH on general operations and communications as they relate to the accountability </w:t>
      </w:r>
      <w:r>
        <w:rPr>
          <w:rFonts w:ascii="Verdana" w:hAnsi="Verdana" w:cs="Arial"/>
          <w:color w:val="000000"/>
          <w:sz w:val="24"/>
          <w:szCs w:val="24"/>
        </w:rPr>
        <w:t xml:space="preserve">and accessibility </w:t>
      </w:r>
      <w:r w:rsidRPr="00C937E0">
        <w:rPr>
          <w:rFonts w:ascii="Verdana" w:hAnsi="Verdana" w:cs="Arial"/>
          <w:color w:val="000000"/>
          <w:sz w:val="24"/>
          <w:szCs w:val="24"/>
        </w:rPr>
        <w:t>of services provided.</w:t>
      </w:r>
    </w:p>
    <w:p w:rsidR="00C33A60" w:rsidRDefault="00C33A60" w:rsidP="00C33A60">
      <w:pPr>
        <w:pStyle w:val="NoSpacing"/>
        <w:rPr>
          <w:rFonts w:ascii="Verdana" w:hAnsi="Verdana"/>
          <w:sz w:val="24"/>
          <w:szCs w:val="24"/>
        </w:rPr>
      </w:pPr>
    </w:p>
    <w:p w:rsidR="009F25DF" w:rsidRDefault="009F25DF" w:rsidP="00C33A60">
      <w:pPr>
        <w:pStyle w:val="NoSpacing"/>
        <w:rPr>
          <w:rFonts w:ascii="Verdana" w:hAnsi="Verdana"/>
          <w:sz w:val="24"/>
          <w:szCs w:val="24"/>
        </w:rPr>
      </w:pPr>
    </w:p>
    <w:p w:rsidR="00C33A60" w:rsidRPr="005019CE" w:rsidRDefault="00775693" w:rsidP="005019CE">
      <w:pPr>
        <w:pStyle w:val="Heading1"/>
      </w:pPr>
      <w:r w:rsidRPr="005019CE">
        <w:t>Introduction</w:t>
      </w:r>
    </w:p>
    <w:p w:rsidR="00C33A60" w:rsidRPr="00C937E0" w:rsidRDefault="00C33A60" w:rsidP="00C33A60">
      <w:pPr>
        <w:pStyle w:val="NoSpacing"/>
        <w:rPr>
          <w:rFonts w:ascii="Verdana" w:hAnsi="Verdana"/>
          <w:b/>
          <w:sz w:val="10"/>
          <w:szCs w:val="10"/>
        </w:rPr>
      </w:pPr>
    </w:p>
    <w:p w:rsidR="00C33A60" w:rsidRPr="00C937E0" w:rsidRDefault="00203B67" w:rsidP="00C33A60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April</w:t>
      </w:r>
      <w:r w:rsidR="00C33A60" w:rsidRPr="00C937E0">
        <w:rPr>
          <w:rFonts w:ascii="Verdana" w:hAnsi="Verdana"/>
          <w:sz w:val="24"/>
          <w:szCs w:val="24"/>
        </w:rPr>
        <w:t xml:space="preserve"> of 201</w:t>
      </w:r>
      <w:r>
        <w:rPr>
          <w:rFonts w:ascii="Verdana" w:hAnsi="Verdana"/>
          <w:sz w:val="24"/>
          <w:szCs w:val="24"/>
        </w:rPr>
        <w:t>8</w:t>
      </w:r>
      <w:r w:rsidR="00C33A60" w:rsidRPr="00C937E0">
        <w:rPr>
          <w:rFonts w:ascii="Verdana" w:hAnsi="Verdana"/>
          <w:sz w:val="24"/>
          <w:szCs w:val="24"/>
        </w:rPr>
        <w:t xml:space="preserve"> the Educational Services Advisory Committee (ESAC) met in Louisville, KY at the American Printing Hous</w:t>
      </w:r>
      <w:r w:rsidR="00C33A60">
        <w:rPr>
          <w:rFonts w:ascii="Verdana" w:hAnsi="Verdana"/>
          <w:sz w:val="24"/>
          <w:szCs w:val="24"/>
        </w:rPr>
        <w:t xml:space="preserve">e for the Blind (APH) </w:t>
      </w:r>
      <w:r w:rsidR="00C33A60" w:rsidRPr="00C937E0">
        <w:rPr>
          <w:rFonts w:ascii="Verdana" w:hAnsi="Verdana"/>
          <w:sz w:val="24"/>
          <w:szCs w:val="24"/>
        </w:rPr>
        <w:t>to address the 201</w:t>
      </w:r>
      <w:r>
        <w:rPr>
          <w:rFonts w:ascii="Verdana" w:hAnsi="Verdana"/>
          <w:sz w:val="24"/>
          <w:szCs w:val="24"/>
        </w:rPr>
        <w:t>7</w:t>
      </w:r>
      <w:r w:rsidR="00C33A60" w:rsidRPr="00C937E0">
        <w:rPr>
          <w:rFonts w:ascii="Verdana" w:hAnsi="Verdana"/>
          <w:sz w:val="24"/>
          <w:szCs w:val="24"/>
        </w:rPr>
        <w:t xml:space="preserve"> ESAC report and to develop commendations and recommendations</w:t>
      </w:r>
      <w:r w:rsidR="00C33A60">
        <w:rPr>
          <w:rFonts w:ascii="Verdana" w:hAnsi="Verdana"/>
          <w:sz w:val="24"/>
          <w:szCs w:val="24"/>
        </w:rPr>
        <w:t xml:space="preserve"> for the current fiscal year</w:t>
      </w:r>
      <w:r w:rsidR="00C33A60" w:rsidRPr="00C937E0">
        <w:rPr>
          <w:rFonts w:ascii="Verdana" w:hAnsi="Verdana"/>
          <w:sz w:val="24"/>
          <w:szCs w:val="24"/>
        </w:rPr>
        <w:t>.  To assist with this endeavor, interactive presentations were mad</w:t>
      </w:r>
      <w:r w:rsidR="00C33A60">
        <w:rPr>
          <w:rFonts w:ascii="Verdana" w:hAnsi="Verdana"/>
          <w:sz w:val="24"/>
          <w:szCs w:val="24"/>
        </w:rPr>
        <w:t xml:space="preserve">e by APH’s administrative staff, including </w:t>
      </w:r>
      <w:r w:rsidR="00C33A60" w:rsidRPr="00C937E0">
        <w:rPr>
          <w:rFonts w:ascii="Verdana" w:hAnsi="Verdana"/>
          <w:sz w:val="24"/>
          <w:szCs w:val="24"/>
        </w:rPr>
        <w:t>progress updates on the 201</w:t>
      </w:r>
      <w:r>
        <w:rPr>
          <w:rFonts w:ascii="Verdana" w:hAnsi="Verdana"/>
          <w:sz w:val="24"/>
          <w:szCs w:val="24"/>
        </w:rPr>
        <w:t>7</w:t>
      </w:r>
      <w:r w:rsidR="00C33A60" w:rsidRPr="00C937E0">
        <w:rPr>
          <w:rFonts w:ascii="Verdana" w:hAnsi="Verdana"/>
          <w:sz w:val="24"/>
          <w:szCs w:val="24"/>
        </w:rPr>
        <w:t xml:space="preserve"> recommendations, operations and information on new initiatives.</w:t>
      </w:r>
    </w:p>
    <w:p w:rsidR="00C33A60" w:rsidRDefault="00C33A60" w:rsidP="00C33A60">
      <w:pPr>
        <w:spacing w:after="0" w:line="240" w:lineRule="auto"/>
        <w:rPr>
          <w:b/>
          <w:color w:val="FF0000"/>
          <w:u w:val="single"/>
        </w:rPr>
      </w:pPr>
    </w:p>
    <w:p w:rsidR="00C33A60" w:rsidRPr="005602C7" w:rsidRDefault="00C33A60" w:rsidP="00C33A60">
      <w:pPr>
        <w:spacing w:after="0" w:line="240" w:lineRule="auto"/>
      </w:pPr>
    </w:p>
    <w:p w:rsidR="00775693" w:rsidRPr="000D5E25" w:rsidRDefault="00775693" w:rsidP="005019CE">
      <w:pPr>
        <w:pStyle w:val="Heading1"/>
      </w:pPr>
      <w:r w:rsidRPr="000D5E25">
        <w:t>The 2018 E</w:t>
      </w:r>
      <w:r>
        <w:t>S</w:t>
      </w:r>
      <w:r w:rsidRPr="000D5E25">
        <w:t>AC Commendations</w:t>
      </w:r>
    </w:p>
    <w:p w:rsidR="00203B67" w:rsidRPr="00203B67" w:rsidRDefault="00203B67" w:rsidP="00C44493">
      <w:pPr>
        <w:spacing w:after="0" w:line="240" w:lineRule="auto"/>
        <w:rPr>
          <w:rFonts w:ascii="Verdana" w:hAnsi="Verdana"/>
          <w:sz w:val="24"/>
          <w:szCs w:val="24"/>
        </w:rPr>
      </w:pPr>
    </w:p>
    <w:p w:rsidR="00C33A60" w:rsidRPr="00C33A60" w:rsidRDefault="00C33A60" w:rsidP="00C33A60">
      <w:pPr>
        <w:spacing w:after="0" w:line="240" w:lineRule="auto"/>
        <w:rPr>
          <w:rFonts w:ascii="Verdana" w:hAnsi="Verdana"/>
          <w:sz w:val="8"/>
          <w:szCs w:val="8"/>
        </w:rPr>
      </w:pPr>
    </w:p>
    <w:p w:rsidR="00203B67" w:rsidRDefault="00C44493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C33A60">
        <w:rPr>
          <w:rFonts w:ascii="Verdana" w:hAnsi="Verdana"/>
          <w:sz w:val="24"/>
          <w:szCs w:val="24"/>
        </w:rPr>
        <w:t xml:space="preserve">. </w:t>
      </w:r>
      <w:r w:rsidR="00C33A60" w:rsidRPr="00C33A60">
        <w:rPr>
          <w:rFonts w:ascii="Verdana" w:hAnsi="Verdana"/>
          <w:sz w:val="24"/>
          <w:szCs w:val="24"/>
        </w:rPr>
        <w:t xml:space="preserve">The ESAC offers a commendation </w:t>
      </w:r>
      <w:r w:rsidR="00203B67">
        <w:rPr>
          <w:rFonts w:ascii="Verdana" w:hAnsi="Verdana"/>
          <w:sz w:val="24"/>
          <w:szCs w:val="24"/>
        </w:rPr>
        <w:t>for the quality and quantity of histor</w:t>
      </w:r>
      <w:r>
        <w:rPr>
          <w:rFonts w:ascii="Verdana" w:hAnsi="Verdana"/>
          <w:sz w:val="24"/>
          <w:szCs w:val="24"/>
        </w:rPr>
        <w:t xml:space="preserve">ical </w:t>
      </w:r>
      <w:r w:rsidR="00203B67">
        <w:rPr>
          <w:rFonts w:ascii="Verdana" w:hAnsi="Verdana"/>
          <w:sz w:val="24"/>
          <w:szCs w:val="24"/>
        </w:rPr>
        <w:t>information available on the museum</w:t>
      </w:r>
      <w:r w:rsidR="004309D5">
        <w:rPr>
          <w:rFonts w:ascii="Verdana" w:hAnsi="Verdana"/>
          <w:sz w:val="24"/>
          <w:szCs w:val="24"/>
        </w:rPr>
        <w:t xml:space="preserve"> page of the APH</w:t>
      </w:r>
      <w:r w:rsidR="00203B67">
        <w:rPr>
          <w:rFonts w:ascii="Verdana" w:hAnsi="Verdana"/>
          <w:sz w:val="24"/>
          <w:szCs w:val="24"/>
        </w:rPr>
        <w:t xml:space="preserve"> website. </w:t>
      </w:r>
    </w:p>
    <w:p w:rsidR="004309D5" w:rsidRPr="004309D5" w:rsidRDefault="00203B67" w:rsidP="004309D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C33A60" w:rsidRPr="00C33A60" w:rsidRDefault="00C33A60" w:rsidP="00C33A60">
      <w:pPr>
        <w:spacing w:after="0" w:line="240" w:lineRule="auto"/>
        <w:rPr>
          <w:rFonts w:ascii="Verdana" w:hAnsi="Verdana"/>
          <w:sz w:val="8"/>
          <w:szCs w:val="8"/>
        </w:rPr>
      </w:pPr>
    </w:p>
    <w:p w:rsidR="00C33A60" w:rsidRDefault="00C44493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="00C33A60">
        <w:rPr>
          <w:rFonts w:ascii="Verdana" w:hAnsi="Verdana"/>
          <w:sz w:val="24"/>
          <w:szCs w:val="24"/>
        </w:rPr>
        <w:t xml:space="preserve">. </w:t>
      </w:r>
      <w:r w:rsidR="00C33A60" w:rsidRPr="00C33A60">
        <w:rPr>
          <w:rFonts w:ascii="Verdana" w:hAnsi="Verdana"/>
          <w:sz w:val="24"/>
          <w:szCs w:val="24"/>
        </w:rPr>
        <w:t>The ESAC offers a commendation</w:t>
      </w:r>
      <w:r>
        <w:rPr>
          <w:rFonts w:ascii="Verdana" w:hAnsi="Verdana"/>
          <w:sz w:val="24"/>
          <w:szCs w:val="24"/>
        </w:rPr>
        <w:t xml:space="preserve"> for the ongoing effort to redesign the APH website including </w:t>
      </w:r>
      <w:r w:rsidR="009F757E">
        <w:rPr>
          <w:rFonts w:ascii="Verdana" w:hAnsi="Verdana"/>
          <w:sz w:val="24"/>
          <w:szCs w:val="24"/>
        </w:rPr>
        <w:t xml:space="preserve">providing the gold standard for accessibility in website design, mainstream product purchasing design and </w:t>
      </w:r>
      <w:r>
        <w:rPr>
          <w:rFonts w:ascii="Verdana" w:hAnsi="Verdana"/>
          <w:sz w:val="24"/>
          <w:szCs w:val="24"/>
        </w:rPr>
        <w:t>one login for EOTs which allows access to centralized information.</w:t>
      </w:r>
    </w:p>
    <w:p w:rsidR="00C44493" w:rsidRDefault="00C44493" w:rsidP="00C33A60">
      <w:pPr>
        <w:spacing w:after="0" w:line="240" w:lineRule="auto"/>
        <w:rPr>
          <w:rFonts w:ascii="Verdana" w:hAnsi="Verdana"/>
          <w:sz w:val="24"/>
          <w:szCs w:val="24"/>
        </w:rPr>
      </w:pPr>
    </w:p>
    <w:p w:rsidR="00C33A60" w:rsidRPr="00C33A60" w:rsidRDefault="00C33A60" w:rsidP="00C33A60">
      <w:pPr>
        <w:spacing w:after="0" w:line="240" w:lineRule="auto"/>
        <w:rPr>
          <w:rFonts w:ascii="Verdana" w:hAnsi="Verdana"/>
          <w:sz w:val="8"/>
          <w:szCs w:val="8"/>
        </w:rPr>
      </w:pPr>
    </w:p>
    <w:p w:rsidR="00C33A60" w:rsidRDefault="009F757E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 w:rsidR="00C33A60">
        <w:rPr>
          <w:rFonts w:ascii="Verdana" w:hAnsi="Verdana"/>
          <w:sz w:val="24"/>
          <w:szCs w:val="24"/>
        </w:rPr>
        <w:t xml:space="preserve">. </w:t>
      </w:r>
      <w:r w:rsidR="00C33A60" w:rsidRPr="00C33A60">
        <w:rPr>
          <w:rFonts w:ascii="Verdana" w:hAnsi="Verdana"/>
          <w:sz w:val="24"/>
          <w:szCs w:val="24"/>
        </w:rPr>
        <w:t xml:space="preserve">The ESAC offers a </w:t>
      </w:r>
      <w:r w:rsidR="00203B67">
        <w:rPr>
          <w:rFonts w:ascii="Verdana" w:hAnsi="Verdana"/>
          <w:sz w:val="24"/>
          <w:szCs w:val="24"/>
        </w:rPr>
        <w:t xml:space="preserve">commendation </w:t>
      </w:r>
      <w:r>
        <w:rPr>
          <w:rFonts w:ascii="Verdana" w:hAnsi="Verdana"/>
          <w:sz w:val="24"/>
          <w:szCs w:val="24"/>
        </w:rPr>
        <w:t xml:space="preserve">for the adoption of an intentional planning and organization process of rolling out new products. </w:t>
      </w:r>
    </w:p>
    <w:p w:rsidR="00203B67" w:rsidRPr="00C33A60" w:rsidRDefault="00203B67" w:rsidP="00C33A60">
      <w:pPr>
        <w:spacing w:after="0" w:line="240" w:lineRule="auto"/>
        <w:rPr>
          <w:rFonts w:ascii="Verdana" w:hAnsi="Verdana"/>
          <w:sz w:val="24"/>
          <w:szCs w:val="24"/>
        </w:rPr>
      </w:pPr>
    </w:p>
    <w:p w:rsidR="00C33A60" w:rsidRDefault="009F757E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 w:rsidR="00C33A60">
        <w:rPr>
          <w:rFonts w:ascii="Verdana" w:hAnsi="Verdana"/>
          <w:sz w:val="24"/>
          <w:szCs w:val="24"/>
        </w:rPr>
        <w:t xml:space="preserve">. </w:t>
      </w:r>
      <w:r w:rsidR="00C33A60" w:rsidRPr="00C33A60">
        <w:rPr>
          <w:rFonts w:ascii="Verdana" w:hAnsi="Verdana"/>
          <w:sz w:val="24"/>
          <w:szCs w:val="24"/>
        </w:rPr>
        <w:t xml:space="preserve">The ESAC offers a commendation for </w:t>
      </w:r>
      <w:r>
        <w:rPr>
          <w:rFonts w:ascii="Verdana" w:hAnsi="Verdana"/>
          <w:sz w:val="24"/>
          <w:szCs w:val="24"/>
        </w:rPr>
        <w:t xml:space="preserve">the use of analytics to support </w:t>
      </w:r>
    </w:p>
    <w:p w:rsidR="009F757E" w:rsidRDefault="009F757E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APH’s decision making process. </w:t>
      </w:r>
    </w:p>
    <w:p w:rsidR="009F757E" w:rsidRDefault="009F757E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5. The ESA</w:t>
      </w:r>
      <w:r w:rsidR="005113D6">
        <w:rPr>
          <w:rFonts w:ascii="Verdana" w:hAnsi="Verdana"/>
          <w:sz w:val="24"/>
          <w:szCs w:val="24"/>
        </w:rPr>
        <w:t xml:space="preserve">C offers a commendation to </w:t>
      </w:r>
      <w:r>
        <w:rPr>
          <w:rFonts w:ascii="Verdana" w:hAnsi="Verdana"/>
          <w:sz w:val="24"/>
          <w:szCs w:val="24"/>
        </w:rPr>
        <w:t xml:space="preserve">APH </w:t>
      </w:r>
      <w:r w:rsidR="005113D6">
        <w:rPr>
          <w:rFonts w:ascii="Verdana" w:hAnsi="Verdana"/>
          <w:sz w:val="24"/>
          <w:szCs w:val="24"/>
        </w:rPr>
        <w:t xml:space="preserve">for its continued support of the highly successful </w:t>
      </w:r>
      <w:r>
        <w:rPr>
          <w:rFonts w:ascii="Verdana" w:hAnsi="Verdana"/>
          <w:sz w:val="24"/>
          <w:szCs w:val="24"/>
        </w:rPr>
        <w:t xml:space="preserve">Scholar Program. </w:t>
      </w:r>
    </w:p>
    <w:p w:rsidR="005113D6" w:rsidRDefault="005113D6" w:rsidP="00C33A60">
      <w:pPr>
        <w:spacing w:after="0" w:line="240" w:lineRule="auto"/>
        <w:rPr>
          <w:rFonts w:ascii="Verdana" w:hAnsi="Verdana"/>
          <w:sz w:val="24"/>
          <w:szCs w:val="24"/>
        </w:rPr>
      </w:pPr>
    </w:p>
    <w:p w:rsidR="005113D6" w:rsidRDefault="005113D6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6. The ESAC offers a commendation to APH for successfully securing an increase in the federal quota funds. </w:t>
      </w:r>
    </w:p>
    <w:p w:rsidR="005113D6" w:rsidRDefault="005113D6" w:rsidP="00C33A60">
      <w:pPr>
        <w:spacing w:after="0" w:line="240" w:lineRule="auto"/>
        <w:rPr>
          <w:rFonts w:ascii="Verdana" w:hAnsi="Verdana"/>
          <w:sz w:val="24"/>
          <w:szCs w:val="24"/>
        </w:rPr>
      </w:pPr>
    </w:p>
    <w:p w:rsidR="005113D6" w:rsidRDefault="005113D6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 The ESAC offers a commendation for the intentional and targeted increased use of social media. </w:t>
      </w:r>
    </w:p>
    <w:p w:rsidR="005113D6" w:rsidRDefault="005113D6" w:rsidP="00C33A60">
      <w:pPr>
        <w:spacing w:after="0" w:line="240" w:lineRule="auto"/>
        <w:rPr>
          <w:rFonts w:ascii="Verdana" w:hAnsi="Verdana"/>
          <w:sz w:val="24"/>
          <w:szCs w:val="24"/>
        </w:rPr>
      </w:pPr>
    </w:p>
    <w:p w:rsidR="005113D6" w:rsidRDefault="005113D6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8. </w:t>
      </w:r>
      <w:r w:rsidR="00953A4A">
        <w:rPr>
          <w:rFonts w:ascii="Verdana" w:hAnsi="Verdana"/>
          <w:sz w:val="24"/>
          <w:szCs w:val="24"/>
        </w:rPr>
        <w:t xml:space="preserve">The ESAC offers a commendation for adopting a </w:t>
      </w:r>
      <w:r w:rsidR="005D126E">
        <w:rPr>
          <w:rFonts w:ascii="Verdana" w:hAnsi="Verdana"/>
          <w:sz w:val="24"/>
          <w:szCs w:val="24"/>
        </w:rPr>
        <w:t xml:space="preserve">structured </w:t>
      </w:r>
      <w:r w:rsidR="00953A4A">
        <w:rPr>
          <w:rFonts w:ascii="Verdana" w:hAnsi="Verdana"/>
          <w:sz w:val="24"/>
          <w:szCs w:val="24"/>
        </w:rPr>
        <w:t xml:space="preserve">model for decision making, efficiency and tracking purposes related to product proposals. </w:t>
      </w:r>
    </w:p>
    <w:p w:rsidR="005113D6" w:rsidRDefault="005113D6" w:rsidP="00C33A60">
      <w:pPr>
        <w:spacing w:after="0" w:line="240" w:lineRule="auto"/>
        <w:rPr>
          <w:rFonts w:ascii="Verdana" w:hAnsi="Verdana"/>
          <w:sz w:val="24"/>
          <w:szCs w:val="24"/>
        </w:rPr>
      </w:pPr>
    </w:p>
    <w:p w:rsidR="005113D6" w:rsidRDefault="00953A4A" w:rsidP="00C33A6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9. The ESAC offers a commendation for APH</w:t>
      </w:r>
      <w:r w:rsidR="005D126E">
        <w:rPr>
          <w:rFonts w:ascii="Verdana" w:hAnsi="Verdana"/>
          <w:sz w:val="24"/>
          <w:szCs w:val="24"/>
        </w:rPr>
        <w:t>’</w:t>
      </w:r>
      <w:r>
        <w:rPr>
          <w:rFonts w:ascii="Verdana" w:hAnsi="Verdana"/>
          <w:sz w:val="24"/>
          <w:szCs w:val="24"/>
        </w:rPr>
        <w:t>s continued support of teacher preparation programs through presentations, visits to the APH headquarters and</w:t>
      </w:r>
      <w:r w:rsidR="005D126E">
        <w:rPr>
          <w:rFonts w:ascii="Verdana" w:hAnsi="Verdana"/>
          <w:sz w:val="24"/>
          <w:szCs w:val="24"/>
        </w:rPr>
        <w:t xml:space="preserve"> the loaning of products for</w:t>
      </w:r>
      <w:r>
        <w:rPr>
          <w:rFonts w:ascii="Verdana" w:hAnsi="Verdana"/>
          <w:sz w:val="24"/>
          <w:szCs w:val="24"/>
        </w:rPr>
        <w:t xml:space="preserve"> use by future teachers. </w:t>
      </w:r>
    </w:p>
    <w:p w:rsidR="00203B67" w:rsidRPr="00C33A60" w:rsidRDefault="00203B67" w:rsidP="00C33A60">
      <w:pPr>
        <w:spacing w:after="0" w:line="240" w:lineRule="auto"/>
        <w:rPr>
          <w:rFonts w:ascii="Verdana" w:hAnsi="Verdana"/>
          <w:sz w:val="8"/>
          <w:szCs w:val="8"/>
        </w:rPr>
      </w:pPr>
    </w:p>
    <w:p w:rsidR="00C33A60" w:rsidRDefault="00C33A60" w:rsidP="00C33A60">
      <w:pPr>
        <w:spacing w:after="0" w:line="240" w:lineRule="auto"/>
        <w:rPr>
          <w:b/>
          <w:color w:val="FF0000"/>
          <w:u w:val="single"/>
        </w:rPr>
      </w:pPr>
    </w:p>
    <w:p w:rsidR="00C33A60" w:rsidRDefault="00C33A60" w:rsidP="00C33A60">
      <w:pPr>
        <w:spacing w:after="0" w:line="240" w:lineRule="auto"/>
        <w:rPr>
          <w:b/>
          <w:color w:val="FF0000"/>
          <w:u w:val="single"/>
        </w:rPr>
      </w:pPr>
    </w:p>
    <w:p w:rsidR="00775693" w:rsidRPr="000D5E25" w:rsidRDefault="00775693" w:rsidP="005019CE">
      <w:pPr>
        <w:pStyle w:val="Heading1"/>
      </w:pPr>
      <w:bookmarkStart w:id="0" w:name="_GoBack"/>
      <w:r w:rsidRPr="000D5E25">
        <w:t xml:space="preserve">The 2018 EPAC Recommendations </w:t>
      </w:r>
    </w:p>
    <w:bookmarkEnd w:id="0"/>
    <w:p w:rsidR="00C33A60" w:rsidRPr="00C937E0" w:rsidRDefault="00C33A60" w:rsidP="00C33A60">
      <w:pPr>
        <w:pStyle w:val="NoSpacing"/>
        <w:rPr>
          <w:rFonts w:ascii="Verdana" w:hAnsi="Verdana"/>
          <w:sz w:val="24"/>
          <w:szCs w:val="24"/>
        </w:rPr>
      </w:pPr>
    </w:p>
    <w:p w:rsidR="00B64BF5" w:rsidRDefault="00C33A60" w:rsidP="00B64BF5">
      <w:pPr>
        <w:pStyle w:val="NoSpacing"/>
        <w:rPr>
          <w:rFonts w:ascii="Verdana" w:hAnsi="Verdana"/>
          <w:b/>
          <w:sz w:val="24"/>
          <w:szCs w:val="24"/>
        </w:rPr>
      </w:pPr>
      <w:r w:rsidRPr="004906B3">
        <w:rPr>
          <w:rFonts w:ascii="Verdana" w:hAnsi="Verdana" w:cs="Arial"/>
          <w:b/>
          <w:color w:val="000000"/>
          <w:sz w:val="24"/>
          <w:szCs w:val="24"/>
        </w:rPr>
        <w:t xml:space="preserve">Consistent with </w:t>
      </w:r>
      <w:r w:rsidRPr="004906B3">
        <w:rPr>
          <w:rFonts w:ascii="Verdana" w:hAnsi="Verdana"/>
          <w:b/>
          <w:sz w:val="24"/>
          <w:szCs w:val="24"/>
        </w:rPr>
        <w:t>The Act to Promote the Education of the Blind (1879), the Educational Services Advisory Committee (ESAC) recommends that APH:</w:t>
      </w:r>
      <w:r w:rsidR="00B64BF5">
        <w:rPr>
          <w:rFonts w:ascii="Verdana" w:hAnsi="Verdana"/>
          <w:b/>
          <w:sz w:val="24"/>
          <w:szCs w:val="24"/>
        </w:rPr>
        <w:t xml:space="preserve"> </w:t>
      </w:r>
    </w:p>
    <w:p w:rsidR="00B64BF5" w:rsidRDefault="00B64BF5" w:rsidP="00B64BF5">
      <w:pPr>
        <w:pStyle w:val="NoSpacing"/>
        <w:rPr>
          <w:rFonts w:ascii="Verdana" w:hAnsi="Verdana"/>
          <w:b/>
          <w:sz w:val="24"/>
          <w:szCs w:val="24"/>
        </w:rPr>
      </w:pPr>
    </w:p>
    <w:p w:rsidR="004A10FE" w:rsidRPr="009F25DF" w:rsidRDefault="00C15D99" w:rsidP="00C15D99">
      <w:pPr>
        <w:pStyle w:val="NoSpacing"/>
        <w:rPr>
          <w:rFonts w:ascii="Verdana" w:hAnsi="Verdana"/>
          <w:sz w:val="24"/>
          <w:szCs w:val="24"/>
        </w:rPr>
      </w:pPr>
      <w:r w:rsidRPr="009F25DF">
        <w:rPr>
          <w:rFonts w:ascii="Verdana" w:hAnsi="Verdana"/>
          <w:sz w:val="24"/>
          <w:szCs w:val="24"/>
        </w:rPr>
        <w:t xml:space="preserve">1. Reinstate APH’s policy of providing materials for employees, EPAC, ESAC, Annual Conference attendees and all other audiences in accessible formats at the same time. </w:t>
      </w:r>
    </w:p>
    <w:p w:rsidR="00C15D99" w:rsidRPr="009F25DF" w:rsidRDefault="00C15D99" w:rsidP="00C15D99">
      <w:pPr>
        <w:pStyle w:val="NoSpacing"/>
        <w:rPr>
          <w:rFonts w:ascii="Verdana" w:hAnsi="Verdana"/>
          <w:sz w:val="24"/>
          <w:szCs w:val="24"/>
        </w:rPr>
      </w:pPr>
    </w:p>
    <w:p w:rsidR="00C15D99" w:rsidRPr="009F25DF" w:rsidRDefault="00C15D99" w:rsidP="00C15D99">
      <w:pPr>
        <w:rPr>
          <w:rFonts w:ascii="Verdana" w:hAnsi="Verdana"/>
          <w:sz w:val="24"/>
          <w:szCs w:val="24"/>
        </w:rPr>
      </w:pPr>
      <w:r w:rsidRPr="009F25DF">
        <w:rPr>
          <w:rFonts w:ascii="Verdana" w:hAnsi="Verdana"/>
          <w:sz w:val="24"/>
          <w:szCs w:val="24"/>
        </w:rPr>
        <w:t xml:space="preserve">2. </w:t>
      </w:r>
      <w:r w:rsidR="00576D8C" w:rsidRPr="009F25DF">
        <w:rPr>
          <w:rFonts w:ascii="Verdana" w:hAnsi="Verdana"/>
          <w:sz w:val="24"/>
          <w:szCs w:val="24"/>
        </w:rPr>
        <w:t xml:space="preserve"> </w:t>
      </w:r>
      <w:r w:rsidR="00BB2344">
        <w:rPr>
          <w:rFonts w:ascii="Verdana" w:hAnsi="Verdana"/>
          <w:sz w:val="24"/>
          <w:szCs w:val="24"/>
        </w:rPr>
        <w:t>I</w:t>
      </w:r>
      <w:r w:rsidRPr="009F25DF">
        <w:rPr>
          <w:rFonts w:ascii="Verdana" w:hAnsi="Verdana"/>
          <w:sz w:val="24"/>
          <w:szCs w:val="24"/>
        </w:rPr>
        <w:t>nvestigate or open a dialog with NLS regarding increasing the term of the contract regarding transcriber certification in an effort to increase the number of certified transcribers available to produce braille as necessary.</w:t>
      </w:r>
    </w:p>
    <w:p w:rsidR="00C15D99" w:rsidRPr="009F25DF" w:rsidRDefault="00C15D99" w:rsidP="00C15D99">
      <w:pPr>
        <w:rPr>
          <w:rFonts w:ascii="Verdana" w:hAnsi="Verdana"/>
          <w:sz w:val="24"/>
          <w:szCs w:val="24"/>
        </w:rPr>
      </w:pPr>
      <w:r w:rsidRPr="009F25DF">
        <w:rPr>
          <w:rFonts w:ascii="Verdana" w:hAnsi="Verdana"/>
          <w:sz w:val="24"/>
          <w:szCs w:val="24"/>
        </w:rPr>
        <w:t>3. Research alternative funding outside of quota funds for populations that do not fall within the regulations of the Act.</w:t>
      </w:r>
    </w:p>
    <w:p w:rsidR="00C15D99" w:rsidRPr="009F25DF" w:rsidRDefault="00C15D99" w:rsidP="00C15D99">
      <w:pPr>
        <w:rPr>
          <w:rFonts w:ascii="Verdana" w:hAnsi="Verdana"/>
          <w:sz w:val="24"/>
          <w:szCs w:val="24"/>
        </w:rPr>
      </w:pPr>
      <w:r w:rsidRPr="009F25DF">
        <w:rPr>
          <w:rFonts w:ascii="Verdana" w:hAnsi="Verdana"/>
          <w:sz w:val="24"/>
          <w:szCs w:val="24"/>
        </w:rPr>
        <w:t xml:space="preserve">4. </w:t>
      </w:r>
      <w:r w:rsidR="000D6F20" w:rsidRPr="009F25DF">
        <w:rPr>
          <w:rFonts w:ascii="Verdana" w:hAnsi="Verdana"/>
          <w:sz w:val="24"/>
          <w:szCs w:val="24"/>
        </w:rPr>
        <w:t xml:space="preserve"> ESAC recommends that APH continue investigating ways to support existing EOT</w:t>
      </w:r>
      <w:r w:rsidR="00BB2344">
        <w:rPr>
          <w:rFonts w:ascii="Verdana" w:hAnsi="Verdana"/>
          <w:sz w:val="24"/>
          <w:szCs w:val="24"/>
        </w:rPr>
        <w:t>s</w:t>
      </w:r>
      <w:r w:rsidR="000D6F20" w:rsidRPr="009F25DF">
        <w:rPr>
          <w:rFonts w:ascii="Verdana" w:hAnsi="Verdana"/>
          <w:sz w:val="24"/>
          <w:szCs w:val="24"/>
        </w:rPr>
        <w:t xml:space="preserve"> with initial or refresher tra</w:t>
      </w:r>
      <w:r w:rsidR="00CB615E" w:rsidRPr="009F25DF">
        <w:rPr>
          <w:rFonts w:ascii="Verdana" w:hAnsi="Verdana"/>
          <w:sz w:val="24"/>
          <w:szCs w:val="24"/>
        </w:rPr>
        <w:t>ining courses. Consider developing a list of experience</w:t>
      </w:r>
      <w:r w:rsidR="00047203">
        <w:rPr>
          <w:rFonts w:ascii="Verdana" w:hAnsi="Verdana"/>
          <w:sz w:val="24"/>
          <w:szCs w:val="24"/>
        </w:rPr>
        <w:t>d</w:t>
      </w:r>
      <w:r w:rsidR="00CB615E" w:rsidRPr="009F25DF">
        <w:rPr>
          <w:rFonts w:ascii="Verdana" w:hAnsi="Verdana"/>
          <w:sz w:val="24"/>
          <w:szCs w:val="24"/>
        </w:rPr>
        <w:t xml:space="preserve"> EOT</w:t>
      </w:r>
      <w:r w:rsidR="00BB2344">
        <w:rPr>
          <w:rFonts w:ascii="Verdana" w:hAnsi="Verdana"/>
          <w:sz w:val="24"/>
          <w:szCs w:val="24"/>
        </w:rPr>
        <w:t>s</w:t>
      </w:r>
      <w:r w:rsidR="00CB615E" w:rsidRPr="009F25DF">
        <w:rPr>
          <w:rFonts w:ascii="Verdana" w:hAnsi="Verdana"/>
          <w:sz w:val="24"/>
          <w:szCs w:val="24"/>
        </w:rPr>
        <w:t xml:space="preserve"> who are willing to be a resource to other EOT</w:t>
      </w:r>
      <w:r w:rsidR="00BB2344">
        <w:rPr>
          <w:rFonts w:ascii="Verdana" w:hAnsi="Verdana"/>
          <w:sz w:val="24"/>
          <w:szCs w:val="24"/>
        </w:rPr>
        <w:t>s.</w:t>
      </w:r>
      <w:r w:rsidR="00CB615E" w:rsidRPr="009F25DF">
        <w:rPr>
          <w:rFonts w:ascii="Verdana" w:hAnsi="Verdana"/>
          <w:sz w:val="24"/>
          <w:szCs w:val="24"/>
        </w:rPr>
        <w:t xml:space="preserve"> </w:t>
      </w:r>
    </w:p>
    <w:p w:rsidR="00CB615E" w:rsidRPr="009F25DF" w:rsidRDefault="00CB615E" w:rsidP="00C15D99">
      <w:pPr>
        <w:rPr>
          <w:rFonts w:ascii="Verdana" w:hAnsi="Verdana"/>
          <w:sz w:val="24"/>
          <w:szCs w:val="24"/>
        </w:rPr>
      </w:pPr>
      <w:r w:rsidRPr="009F25DF">
        <w:rPr>
          <w:rFonts w:ascii="Verdana" w:hAnsi="Verdana"/>
          <w:sz w:val="24"/>
          <w:szCs w:val="24"/>
        </w:rPr>
        <w:t xml:space="preserve">5. </w:t>
      </w:r>
      <w:r w:rsidR="00E04470" w:rsidRPr="009F25DF">
        <w:rPr>
          <w:rFonts w:ascii="Verdana" w:hAnsi="Verdana"/>
          <w:sz w:val="24"/>
          <w:szCs w:val="24"/>
        </w:rPr>
        <w:t>Explore opportunities for professional development to different audiences (O and M, TVI, VR etc</w:t>
      </w:r>
      <w:r w:rsidR="00522DC7" w:rsidRPr="009F25DF">
        <w:rPr>
          <w:rFonts w:ascii="Verdana" w:hAnsi="Verdana"/>
          <w:sz w:val="24"/>
          <w:szCs w:val="24"/>
        </w:rPr>
        <w:t>.</w:t>
      </w:r>
      <w:r w:rsidR="00E04470" w:rsidRPr="009F25DF">
        <w:rPr>
          <w:rFonts w:ascii="Verdana" w:hAnsi="Verdana"/>
          <w:sz w:val="24"/>
          <w:szCs w:val="24"/>
        </w:rPr>
        <w:t xml:space="preserve">) utilizing a variety of platforms (face-to-face, online </w:t>
      </w:r>
      <w:r w:rsidR="00522DC7" w:rsidRPr="009F25DF">
        <w:rPr>
          <w:rFonts w:ascii="Verdana" w:hAnsi="Verdana"/>
          <w:sz w:val="24"/>
          <w:szCs w:val="24"/>
        </w:rPr>
        <w:t>etc</w:t>
      </w:r>
      <w:r w:rsidR="00E04470" w:rsidRPr="009F25DF">
        <w:rPr>
          <w:rFonts w:ascii="Verdana" w:hAnsi="Verdana"/>
          <w:sz w:val="24"/>
          <w:szCs w:val="24"/>
        </w:rPr>
        <w:t>.</w:t>
      </w:r>
      <w:r w:rsidR="00522DC7" w:rsidRPr="009F25DF">
        <w:rPr>
          <w:rFonts w:ascii="Verdana" w:hAnsi="Verdana"/>
          <w:sz w:val="24"/>
          <w:szCs w:val="24"/>
        </w:rPr>
        <w:t>)</w:t>
      </w:r>
      <w:r w:rsidR="00E04470" w:rsidRPr="009F25DF">
        <w:rPr>
          <w:rFonts w:ascii="Verdana" w:hAnsi="Verdana"/>
          <w:sz w:val="24"/>
          <w:szCs w:val="24"/>
        </w:rPr>
        <w:t xml:space="preserve"> </w:t>
      </w:r>
    </w:p>
    <w:p w:rsidR="00891077" w:rsidRPr="009F25DF" w:rsidRDefault="009510A9" w:rsidP="00C33A60">
      <w:pPr>
        <w:rPr>
          <w:rFonts w:ascii="Verdana" w:hAnsi="Verdana"/>
          <w:sz w:val="24"/>
          <w:szCs w:val="24"/>
        </w:rPr>
      </w:pPr>
      <w:r w:rsidRPr="009F25DF">
        <w:rPr>
          <w:rFonts w:ascii="Verdana" w:hAnsi="Verdana"/>
          <w:sz w:val="24"/>
          <w:szCs w:val="24"/>
        </w:rPr>
        <w:t xml:space="preserve">6. </w:t>
      </w:r>
      <w:r w:rsidR="00522DC7" w:rsidRPr="009F25DF">
        <w:rPr>
          <w:rFonts w:ascii="Verdana" w:hAnsi="Verdana"/>
          <w:sz w:val="24"/>
          <w:szCs w:val="24"/>
        </w:rPr>
        <w:t xml:space="preserve">Consider expanding National Instructional Partnership. </w:t>
      </w:r>
    </w:p>
    <w:p w:rsidR="00BB2344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5E25">
        <w:rPr>
          <w:rFonts w:ascii="Verdana" w:eastAsia="Times New Roman" w:hAnsi="Verdana" w:cs="Times New Roman"/>
          <w:sz w:val="24"/>
          <w:szCs w:val="24"/>
        </w:rPr>
        <w:t>Respectfully Submitted,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5E25">
        <w:rPr>
          <w:rFonts w:ascii="Verdana" w:eastAsia="Times New Roman" w:hAnsi="Verdana" w:cs="Times New Roman"/>
          <w:sz w:val="24"/>
          <w:szCs w:val="24"/>
        </w:rPr>
        <w:t xml:space="preserve">Educational </w:t>
      </w:r>
      <w:r>
        <w:rPr>
          <w:rFonts w:ascii="Verdana" w:eastAsia="Times New Roman" w:hAnsi="Verdana" w:cs="Times New Roman"/>
          <w:sz w:val="24"/>
          <w:szCs w:val="24"/>
        </w:rPr>
        <w:t>Services</w:t>
      </w:r>
      <w:r w:rsidRPr="000D5E25">
        <w:rPr>
          <w:rFonts w:ascii="Verdana" w:eastAsia="Times New Roman" w:hAnsi="Verdana" w:cs="Times New Roman"/>
          <w:sz w:val="24"/>
          <w:szCs w:val="24"/>
        </w:rPr>
        <w:t xml:space="preserve"> Advisory Committee Members: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Marty McKenzie, Chair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Donna Earley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Robert Hair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Marjorie Kaiser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Mary Lane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Serena Preston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Dan Wenzel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Jackie Otwell</w:t>
      </w:r>
      <w:r w:rsidRPr="000D5E25">
        <w:rPr>
          <w:rFonts w:ascii="Verdana" w:eastAsia="Times New Roman" w:hAnsi="Verdana" w:cs="Times New Roman"/>
          <w:sz w:val="24"/>
          <w:szCs w:val="24"/>
        </w:rPr>
        <w:t>, APH Scholar</w:t>
      </w:r>
    </w:p>
    <w:p w:rsidR="00BB2344" w:rsidRPr="000D5E25" w:rsidRDefault="00BB2344" w:rsidP="00BB234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0D5E25">
        <w:rPr>
          <w:rFonts w:ascii="Verdana" w:eastAsia="Times New Roman" w:hAnsi="Verdana" w:cs="Times New Roman"/>
          <w:sz w:val="24"/>
          <w:szCs w:val="24"/>
        </w:rPr>
        <w:t>April 16-19, 2018</w:t>
      </w:r>
    </w:p>
    <w:p w:rsidR="00BB2344" w:rsidRDefault="00BB2344" w:rsidP="00891077">
      <w:pPr>
        <w:tabs>
          <w:tab w:val="left" w:pos="1680"/>
        </w:tabs>
        <w:rPr>
          <w:rFonts w:ascii="Verdana" w:hAnsi="Verdana"/>
          <w:sz w:val="24"/>
          <w:szCs w:val="24"/>
        </w:rPr>
      </w:pPr>
    </w:p>
    <w:p w:rsidR="00953A4A" w:rsidRPr="009F25DF" w:rsidRDefault="00953A4A" w:rsidP="00891077">
      <w:pPr>
        <w:tabs>
          <w:tab w:val="left" w:pos="1680"/>
        </w:tabs>
        <w:rPr>
          <w:rFonts w:ascii="Verdana" w:hAnsi="Verdana"/>
          <w:sz w:val="24"/>
          <w:szCs w:val="24"/>
        </w:rPr>
      </w:pPr>
    </w:p>
    <w:sectPr w:rsidR="00953A4A" w:rsidRPr="009F2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C7D" w:rsidRDefault="004E6C7D" w:rsidP="00D120DE">
      <w:pPr>
        <w:spacing w:after="0" w:line="240" w:lineRule="auto"/>
      </w:pPr>
      <w:r>
        <w:separator/>
      </w:r>
    </w:p>
  </w:endnote>
  <w:endnote w:type="continuationSeparator" w:id="0">
    <w:p w:rsidR="004E6C7D" w:rsidRDefault="004E6C7D" w:rsidP="00D1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E" w:rsidRDefault="00D12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E" w:rsidRDefault="00D12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E" w:rsidRDefault="00D12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C7D" w:rsidRDefault="004E6C7D" w:rsidP="00D120DE">
      <w:pPr>
        <w:spacing w:after="0" w:line="240" w:lineRule="auto"/>
      </w:pPr>
      <w:r>
        <w:separator/>
      </w:r>
    </w:p>
  </w:footnote>
  <w:footnote w:type="continuationSeparator" w:id="0">
    <w:p w:rsidR="004E6C7D" w:rsidRDefault="004E6C7D" w:rsidP="00D1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E" w:rsidRDefault="00D12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E" w:rsidRDefault="00D12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DE" w:rsidRDefault="00D12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613"/>
    <w:multiLevelType w:val="hybridMultilevel"/>
    <w:tmpl w:val="CA12CDB0"/>
    <w:lvl w:ilvl="0" w:tplc="7D2C73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723E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088"/>
    <w:multiLevelType w:val="hybridMultilevel"/>
    <w:tmpl w:val="15AA6A6A"/>
    <w:lvl w:ilvl="0" w:tplc="F3D02DC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376"/>
    <w:multiLevelType w:val="hybridMultilevel"/>
    <w:tmpl w:val="EEFC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37A5"/>
    <w:multiLevelType w:val="hybridMultilevel"/>
    <w:tmpl w:val="2780C30A"/>
    <w:lvl w:ilvl="0" w:tplc="5CB4FB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909EA"/>
    <w:multiLevelType w:val="hybridMultilevel"/>
    <w:tmpl w:val="ED825736"/>
    <w:lvl w:ilvl="0" w:tplc="7710F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705D"/>
    <w:multiLevelType w:val="hybridMultilevel"/>
    <w:tmpl w:val="0388E000"/>
    <w:lvl w:ilvl="0" w:tplc="A01A8D16">
      <w:start w:val="10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00BA"/>
    <w:multiLevelType w:val="hybridMultilevel"/>
    <w:tmpl w:val="76401904"/>
    <w:lvl w:ilvl="0" w:tplc="346C5C3A">
      <w:start w:val="4"/>
      <w:numFmt w:val="decimal"/>
      <w:lvlText w:val="%1."/>
      <w:lvlJc w:val="left"/>
      <w:pPr>
        <w:ind w:left="720" w:hanging="360"/>
      </w:pPr>
      <w:rPr>
        <w:rFonts w:hint="default"/>
        <w:color w:val="723E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6638"/>
    <w:multiLevelType w:val="hybridMultilevel"/>
    <w:tmpl w:val="5E9C1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6D37"/>
    <w:multiLevelType w:val="hybridMultilevel"/>
    <w:tmpl w:val="CAC43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F2BBD"/>
    <w:multiLevelType w:val="hybridMultilevel"/>
    <w:tmpl w:val="C5247EF8"/>
    <w:lvl w:ilvl="0" w:tplc="C398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30049"/>
    <w:multiLevelType w:val="hybridMultilevel"/>
    <w:tmpl w:val="E202E95A"/>
    <w:lvl w:ilvl="0" w:tplc="26DE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2921"/>
    <w:multiLevelType w:val="hybridMultilevel"/>
    <w:tmpl w:val="752E00C6"/>
    <w:lvl w:ilvl="0" w:tplc="C0E0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C5680"/>
    <w:multiLevelType w:val="hybridMultilevel"/>
    <w:tmpl w:val="7C62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17D99"/>
    <w:multiLevelType w:val="hybridMultilevel"/>
    <w:tmpl w:val="EF1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87AA4"/>
    <w:multiLevelType w:val="hybridMultilevel"/>
    <w:tmpl w:val="466E67CA"/>
    <w:lvl w:ilvl="0" w:tplc="F9BE7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E0A1F"/>
    <w:multiLevelType w:val="hybridMultilevel"/>
    <w:tmpl w:val="C522521E"/>
    <w:lvl w:ilvl="0" w:tplc="AEACA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84D99"/>
    <w:multiLevelType w:val="hybridMultilevel"/>
    <w:tmpl w:val="DAD4B00C"/>
    <w:lvl w:ilvl="0" w:tplc="E79C0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45F7B"/>
    <w:multiLevelType w:val="hybridMultilevel"/>
    <w:tmpl w:val="4800B1F0"/>
    <w:lvl w:ilvl="0" w:tplc="66C28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2"/>
  </w:num>
  <w:num w:numId="6">
    <w:abstractNumId w:val="2"/>
  </w:num>
  <w:num w:numId="7">
    <w:abstractNumId w:val="1"/>
  </w:num>
  <w:num w:numId="8">
    <w:abstractNumId w:val="4"/>
  </w:num>
  <w:num w:numId="9">
    <w:abstractNumId w:val="17"/>
  </w:num>
  <w:num w:numId="10">
    <w:abstractNumId w:val="11"/>
  </w:num>
  <w:num w:numId="11">
    <w:abstractNumId w:val="9"/>
  </w:num>
  <w:num w:numId="12">
    <w:abstractNumId w:val="14"/>
  </w:num>
  <w:num w:numId="13">
    <w:abstractNumId w:val="3"/>
  </w:num>
  <w:num w:numId="14">
    <w:abstractNumId w:val="16"/>
  </w:num>
  <w:num w:numId="15">
    <w:abstractNumId w:val="10"/>
  </w:num>
  <w:num w:numId="16">
    <w:abstractNumId w:val="1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60"/>
    <w:rsid w:val="00047203"/>
    <w:rsid w:val="000C5185"/>
    <w:rsid w:val="000D6F20"/>
    <w:rsid w:val="00195F81"/>
    <w:rsid w:val="00203B67"/>
    <w:rsid w:val="002B0A62"/>
    <w:rsid w:val="003F79AC"/>
    <w:rsid w:val="004309D5"/>
    <w:rsid w:val="004A10FE"/>
    <w:rsid w:val="004E6C7D"/>
    <w:rsid w:val="005019CE"/>
    <w:rsid w:val="005113D6"/>
    <w:rsid w:val="00522DC7"/>
    <w:rsid w:val="00576D8C"/>
    <w:rsid w:val="005D126E"/>
    <w:rsid w:val="00623DD9"/>
    <w:rsid w:val="00693A08"/>
    <w:rsid w:val="00775693"/>
    <w:rsid w:val="00891077"/>
    <w:rsid w:val="008B653D"/>
    <w:rsid w:val="009510A9"/>
    <w:rsid w:val="00953A4A"/>
    <w:rsid w:val="009F25DF"/>
    <w:rsid w:val="009F757E"/>
    <w:rsid w:val="00B64BF5"/>
    <w:rsid w:val="00BB2344"/>
    <w:rsid w:val="00C15D99"/>
    <w:rsid w:val="00C33A60"/>
    <w:rsid w:val="00C44493"/>
    <w:rsid w:val="00CB050B"/>
    <w:rsid w:val="00CB615E"/>
    <w:rsid w:val="00CC7B40"/>
    <w:rsid w:val="00D120DE"/>
    <w:rsid w:val="00D13D27"/>
    <w:rsid w:val="00E04470"/>
    <w:rsid w:val="00E64FAC"/>
    <w:rsid w:val="00EC4712"/>
    <w:rsid w:val="00E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F02F1-3D6B-4178-8D04-DF4B2D8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A60"/>
  </w:style>
  <w:style w:type="paragraph" w:styleId="Heading1">
    <w:name w:val="heading 1"/>
    <w:basedOn w:val="NoSpacing"/>
    <w:next w:val="Normal"/>
    <w:link w:val="Heading1Char"/>
    <w:uiPriority w:val="9"/>
    <w:qFormat/>
    <w:rsid w:val="005019CE"/>
    <w:pPr>
      <w:outlineLvl w:val="0"/>
    </w:pPr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A60"/>
    <w:pPr>
      <w:ind w:left="720"/>
      <w:contextualSpacing/>
    </w:pPr>
  </w:style>
  <w:style w:type="paragraph" w:styleId="NoSpacing">
    <w:name w:val="No Spacing"/>
    <w:uiPriority w:val="1"/>
    <w:qFormat/>
    <w:rsid w:val="00C33A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0DE"/>
  </w:style>
  <w:style w:type="paragraph" w:styleId="Footer">
    <w:name w:val="footer"/>
    <w:basedOn w:val="Normal"/>
    <w:link w:val="FooterChar"/>
    <w:uiPriority w:val="99"/>
    <w:unhideWhenUsed/>
    <w:rsid w:val="00D1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0DE"/>
  </w:style>
  <w:style w:type="paragraph" w:styleId="Title">
    <w:name w:val="Title"/>
    <w:basedOn w:val="NoSpacing"/>
    <w:next w:val="Normal"/>
    <w:link w:val="TitleChar"/>
    <w:uiPriority w:val="10"/>
    <w:qFormat/>
    <w:rsid w:val="005019CE"/>
    <w:pPr>
      <w:jc w:val="center"/>
    </w:pPr>
    <w:rPr>
      <w:rFonts w:ascii="Verdana" w:hAnsi="Verdana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019CE"/>
    <w:rPr>
      <w:rFonts w:ascii="Verdana" w:hAnsi="Verdana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019CE"/>
    <w:rPr>
      <w:rFonts w:ascii="Verdana" w:hAnsi="Verdana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EF41-6707-43D6-ADC5-B89481A5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557</Words>
  <Characters>3175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2018-09-12T21:58:00Z</cp:lastPrinted>
  <dcterms:created xsi:type="dcterms:W3CDTF">2018-04-18T19:27:00Z</dcterms:created>
  <dcterms:modified xsi:type="dcterms:W3CDTF">2020-09-28T16:36:00Z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