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F006" w14:textId="1B21487E" w:rsidR="00D51E29" w:rsidRDefault="00D51E29" w:rsidP="00A301B4">
      <w:pPr>
        <w:pStyle w:val="Heading1"/>
      </w:pPr>
      <w:r>
        <w:t>Report of the Educational Products Advisory Committee</w:t>
      </w:r>
      <w:r w:rsidR="00F85D92">
        <w:t xml:space="preserve"> </w:t>
      </w:r>
      <w:r>
        <w:t>to the Trustees of the</w:t>
      </w:r>
      <w:r w:rsidR="00F85D92">
        <w:t xml:space="preserve"> </w:t>
      </w:r>
      <w:r>
        <w:t>American Printing House for the Blind Fiscal Year 2021</w:t>
      </w:r>
    </w:p>
    <w:p w14:paraId="72130406" w14:textId="77777777" w:rsidR="00D51E29" w:rsidRDefault="00D51E29" w:rsidP="00A301B4">
      <w:pPr>
        <w:pStyle w:val="Heading2"/>
      </w:pPr>
      <w:r>
        <w:t>PURPOSE</w:t>
      </w:r>
    </w:p>
    <w:p w14:paraId="5E8E3F1B" w14:textId="77777777" w:rsidR="00D51E29" w:rsidRPr="00A301B4" w:rsidRDefault="00D51E29" w:rsidP="00A301B4">
      <w:pPr>
        <w:pStyle w:val="Body1"/>
        <w:spacing w:line="360" w:lineRule="auto"/>
        <w:rPr>
          <w:rFonts w:ascii="Verdana" w:hAnsi="Verdana"/>
          <w:szCs w:val="24"/>
        </w:rPr>
      </w:pPr>
      <w:r>
        <w:rPr>
          <w:rFonts w:ascii="Verdana" w:hAnsi="Verdana"/>
          <w:szCs w:val="24"/>
        </w:rPr>
        <w:t>The purpose of the Educational Products Advisory Committee (EPAC) is:</w:t>
      </w:r>
    </w:p>
    <w:p w14:paraId="1217E26D" w14:textId="77777777" w:rsidR="00D51E29" w:rsidRDefault="00D51E29" w:rsidP="00A301B4">
      <w:pPr>
        <w:pStyle w:val="Body1"/>
        <w:numPr>
          <w:ilvl w:val="0"/>
          <w:numId w:val="4"/>
        </w:numPr>
        <w:spacing w:line="360" w:lineRule="auto"/>
        <w:ind w:left="360"/>
        <w:rPr>
          <w:rFonts w:ascii="Verdana" w:hAnsi="Verdana"/>
          <w:szCs w:val="24"/>
        </w:rPr>
      </w:pPr>
      <w:r>
        <w:rPr>
          <w:rFonts w:ascii="Verdana" w:hAnsi="Verdana"/>
          <w:szCs w:val="24"/>
        </w:rPr>
        <w:t>To advise the American Printing House for the Blind (APH) in establishing priorities, standards, and policies regarding products.</w:t>
      </w:r>
    </w:p>
    <w:p w14:paraId="39562D7D" w14:textId="77777777" w:rsidR="00D51E29" w:rsidRDefault="00D51E29" w:rsidP="00A301B4">
      <w:pPr>
        <w:pStyle w:val="Body1"/>
        <w:numPr>
          <w:ilvl w:val="0"/>
          <w:numId w:val="4"/>
        </w:numPr>
        <w:spacing w:line="360" w:lineRule="auto"/>
        <w:ind w:left="360"/>
        <w:rPr>
          <w:rFonts w:ascii="Verdana" w:hAnsi="Verdana"/>
          <w:szCs w:val="24"/>
        </w:rPr>
      </w:pPr>
      <w:r>
        <w:rPr>
          <w:rFonts w:ascii="Verdana" w:hAnsi="Verdana"/>
          <w:szCs w:val="24"/>
        </w:rPr>
        <w:t>To review research and development priorities, suggest additional areas of interest, and advise APH staff on the prioritization of needs and projects.</w:t>
      </w:r>
    </w:p>
    <w:p w14:paraId="3A1BEF99" w14:textId="77777777" w:rsidR="00D51E29" w:rsidRDefault="00D51E29" w:rsidP="00A301B4">
      <w:pPr>
        <w:pStyle w:val="Body1"/>
        <w:numPr>
          <w:ilvl w:val="0"/>
          <w:numId w:val="4"/>
        </w:numPr>
        <w:spacing w:line="360" w:lineRule="auto"/>
        <w:ind w:left="360"/>
        <w:rPr>
          <w:rFonts w:ascii="Verdana" w:hAnsi="Verdana"/>
          <w:szCs w:val="24"/>
        </w:rPr>
      </w:pPr>
      <w:r>
        <w:rPr>
          <w:rFonts w:ascii="Verdana" w:hAnsi="Verdana"/>
          <w:szCs w:val="24"/>
        </w:rPr>
        <w:t>To review products under development and to consider approval of finished products for purchase with Federal Quota funds.</w:t>
      </w:r>
    </w:p>
    <w:p w14:paraId="5CC39C98" w14:textId="77777777" w:rsidR="00D51E29" w:rsidRDefault="00D51E29" w:rsidP="00A301B4">
      <w:pPr>
        <w:pStyle w:val="Body1"/>
        <w:numPr>
          <w:ilvl w:val="0"/>
          <w:numId w:val="4"/>
        </w:numPr>
        <w:spacing w:line="360" w:lineRule="auto"/>
        <w:ind w:left="360"/>
        <w:rPr>
          <w:rFonts w:ascii="Verdana" w:hAnsi="Verdana"/>
          <w:szCs w:val="24"/>
        </w:rPr>
      </w:pPr>
      <w:r>
        <w:rPr>
          <w:rFonts w:ascii="Verdana" w:hAnsi="Verdana"/>
          <w:szCs w:val="24"/>
        </w:rPr>
        <w:t>To recommend parents, caregivers, students, clients, and professionals in the field serve as subjects for research or field-test purposes, as project consultants, and/or as committee members.</w:t>
      </w:r>
    </w:p>
    <w:p w14:paraId="575B4F28" w14:textId="77777777" w:rsidR="00D51E29" w:rsidRDefault="00D51E29" w:rsidP="00A301B4">
      <w:pPr>
        <w:pStyle w:val="Heading2"/>
      </w:pPr>
      <w:r>
        <w:t>INTRODUCTION</w:t>
      </w:r>
    </w:p>
    <w:p w14:paraId="64F8867F" w14:textId="77777777" w:rsidR="00D51E29" w:rsidRPr="008405A5" w:rsidRDefault="00D51E29" w:rsidP="008405A5">
      <w:pPr>
        <w:spacing w:line="360" w:lineRule="auto"/>
        <w:rPr>
          <w:rFonts w:ascii="Verdana" w:hAnsi="Verdana"/>
          <w:sz w:val="24"/>
          <w:szCs w:val="24"/>
        </w:rPr>
      </w:pPr>
      <w:r w:rsidRPr="008405A5">
        <w:rPr>
          <w:rFonts w:ascii="Verdana" w:hAnsi="Verdana"/>
          <w:sz w:val="24"/>
          <w:szCs w:val="24"/>
        </w:rPr>
        <w:t>In March 2021, the EPAC met in Louisville, KY, at APH via ZOOM</w:t>
      </w:r>
      <w:r w:rsidR="00767696" w:rsidRPr="008405A5">
        <w:rPr>
          <w:rFonts w:ascii="Verdana" w:hAnsi="Verdana"/>
          <w:sz w:val="24"/>
          <w:szCs w:val="24"/>
        </w:rPr>
        <w:t>,</w:t>
      </w:r>
      <w:r w:rsidRPr="008405A5">
        <w:rPr>
          <w:rFonts w:ascii="Verdana" w:hAnsi="Verdana"/>
          <w:sz w:val="24"/>
          <w:szCs w:val="24"/>
        </w:rPr>
        <w:t xml:space="preserve"> for the twentieth year as a formal advisory committee to address the 2020 EPAC report and to develop commendations and recommendations for the current fiscal year. To assist with this endeavor, presentations were made by APH’s product development staff, including progress updates on the 2020 recommendations, operations and information on new initiatives.</w:t>
      </w:r>
    </w:p>
    <w:p w14:paraId="2D4CB597" w14:textId="77777777" w:rsidR="004F2C49" w:rsidRPr="00D51E29" w:rsidRDefault="004F2C49" w:rsidP="00A301B4">
      <w:pPr>
        <w:pStyle w:val="Heading2"/>
      </w:pPr>
      <w:r w:rsidRPr="00D51E29">
        <w:t>COMMENDATIONS</w:t>
      </w:r>
    </w:p>
    <w:p w14:paraId="72DF3A91" w14:textId="77777777" w:rsidR="004F2C49" w:rsidRPr="008405A5" w:rsidRDefault="004F2C49" w:rsidP="008405A5">
      <w:pPr>
        <w:spacing w:line="360" w:lineRule="auto"/>
        <w:rPr>
          <w:rFonts w:ascii="Verdana" w:hAnsi="Verdana"/>
          <w:sz w:val="24"/>
          <w:szCs w:val="24"/>
        </w:rPr>
      </w:pPr>
      <w:r w:rsidRPr="008405A5">
        <w:rPr>
          <w:rFonts w:ascii="Verdana" w:hAnsi="Verdana"/>
          <w:sz w:val="24"/>
          <w:szCs w:val="24"/>
        </w:rPr>
        <w:t>The EPAC commends APH for the following:</w:t>
      </w:r>
    </w:p>
    <w:p w14:paraId="78D6CF46" w14:textId="77777777" w:rsidR="00F31CD2" w:rsidRPr="008405A5" w:rsidRDefault="00F31CD2" w:rsidP="008405A5">
      <w:pPr>
        <w:pStyle w:val="ListParagraph"/>
        <w:numPr>
          <w:ilvl w:val="0"/>
          <w:numId w:val="6"/>
        </w:numPr>
        <w:spacing w:line="360" w:lineRule="auto"/>
        <w:rPr>
          <w:rFonts w:ascii="Verdana" w:hAnsi="Verdana"/>
          <w:sz w:val="24"/>
          <w:szCs w:val="24"/>
        </w:rPr>
      </w:pPr>
      <w:r w:rsidRPr="008405A5">
        <w:rPr>
          <w:rFonts w:ascii="Verdana" w:hAnsi="Verdana"/>
          <w:sz w:val="24"/>
          <w:szCs w:val="24"/>
        </w:rPr>
        <w:t>During a world-wide pandemic, APH continued to provide</w:t>
      </w:r>
      <w:r w:rsidR="00473FE7" w:rsidRPr="008405A5">
        <w:rPr>
          <w:rFonts w:ascii="Verdana" w:hAnsi="Verdana"/>
          <w:sz w:val="24"/>
          <w:szCs w:val="24"/>
        </w:rPr>
        <w:t xml:space="preserve"> relevant </w:t>
      </w:r>
      <w:r w:rsidRPr="008405A5">
        <w:rPr>
          <w:rFonts w:ascii="Verdana" w:hAnsi="Verdana"/>
          <w:sz w:val="24"/>
          <w:szCs w:val="24"/>
        </w:rPr>
        <w:t>services and products in a timely manner. We would like to make a special note of the following:</w:t>
      </w:r>
    </w:p>
    <w:p w14:paraId="63DAA158" w14:textId="77777777" w:rsidR="00F31CD2" w:rsidRPr="008405A5" w:rsidRDefault="00F31CD2" w:rsidP="00D7315F">
      <w:pPr>
        <w:pStyle w:val="ListParagraph"/>
        <w:numPr>
          <w:ilvl w:val="1"/>
          <w:numId w:val="6"/>
        </w:numPr>
        <w:spacing w:line="360" w:lineRule="auto"/>
        <w:rPr>
          <w:rFonts w:ascii="Verdana" w:hAnsi="Verdana"/>
          <w:sz w:val="24"/>
          <w:szCs w:val="24"/>
        </w:rPr>
      </w:pPr>
      <w:r w:rsidRPr="008405A5">
        <w:rPr>
          <w:rFonts w:ascii="Verdana" w:hAnsi="Verdana"/>
          <w:sz w:val="24"/>
          <w:szCs w:val="24"/>
        </w:rPr>
        <w:lastRenderedPageBreak/>
        <w:t>Flexibility in shipping materials directly to TVIs who had no access to their campus or school buildings.</w:t>
      </w:r>
    </w:p>
    <w:p w14:paraId="556CA2FB" w14:textId="77777777" w:rsidR="00FD0AE1" w:rsidRPr="008405A5" w:rsidRDefault="00FD0AE1" w:rsidP="00D7315F">
      <w:pPr>
        <w:pStyle w:val="ListParagraph"/>
        <w:numPr>
          <w:ilvl w:val="1"/>
          <w:numId w:val="6"/>
        </w:numPr>
        <w:spacing w:line="360" w:lineRule="auto"/>
        <w:rPr>
          <w:rFonts w:ascii="Verdana" w:hAnsi="Verdana"/>
          <w:sz w:val="24"/>
          <w:szCs w:val="24"/>
        </w:rPr>
      </w:pPr>
      <w:r w:rsidRPr="008405A5">
        <w:rPr>
          <w:rFonts w:ascii="Verdana" w:hAnsi="Verdana"/>
          <w:sz w:val="24"/>
          <w:szCs w:val="24"/>
        </w:rPr>
        <w:t>Willingness to ship products directly to the parents of students who continued attending classes virtually.</w:t>
      </w:r>
    </w:p>
    <w:p w14:paraId="43B5543F" w14:textId="77777777" w:rsidR="00FD0AE1" w:rsidRPr="008405A5" w:rsidRDefault="00FD0AE1" w:rsidP="00D7315F">
      <w:pPr>
        <w:pStyle w:val="ListParagraph"/>
        <w:numPr>
          <w:ilvl w:val="1"/>
          <w:numId w:val="6"/>
        </w:numPr>
        <w:spacing w:line="360" w:lineRule="auto"/>
        <w:rPr>
          <w:rFonts w:ascii="Verdana" w:hAnsi="Verdana"/>
          <w:sz w:val="24"/>
          <w:szCs w:val="24"/>
        </w:rPr>
      </w:pPr>
      <w:r w:rsidRPr="008405A5">
        <w:rPr>
          <w:rFonts w:ascii="Verdana" w:hAnsi="Verdana"/>
          <w:sz w:val="24"/>
          <w:szCs w:val="24"/>
        </w:rPr>
        <w:t>The APH Accessible Textbook Department continued to provide the textbooks needed, including new adoptions in a timely manner.</w:t>
      </w:r>
    </w:p>
    <w:p w14:paraId="1E6DBF4B" w14:textId="77777777" w:rsidR="00FD0AE1" w:rsidRPr="008405A5" w:rsidRDefault="00473FE7" w:rsidP="008405A5">
      <w:pPr>
        <w:pStyle w:val="ListParagraph"/>
        <w:numPr>
          <w:ilvl w:val="0"/>
          <w:numId w:val="6"/>
        </w:numPr>
        <w:spacing w:line="360" w:lineRule="auto"/>
        <w:rPr>
          <w:rFonts w:ascii="Verdana" w:hAnsi="Verdana"/>
          <w:sz w:val="24"/>
          <w:szCs w:val="24"/>
        </w:rPr>
      </w:pPr>
      <w:r w:rsidRPr="008405A5">
        <w:rPr>
          <w:rFonts w:ascii="Verdana" w:hAnsi="Verdana"/>
          <w:sz w:val="24"/>
          <w:szCs w:val="24"/>
        </w:rPr>
        <w:t>Considering</w:t>
      </w:r>
      <w:r w:rsidR="001C504D" w:rsidRPr="008405A5">
        <w:rPr>
          <w:rFonts w:ascii="Verdana" w:hAnsi="Verdana"/>
          <w:sz w:val="24"/>
          <w:szCs w:val="24"/>
        </w:rPr>
        <w:t xml:space="preserve"> recommendations and inpu</w:t>
      </w:r>
      <w:r w:rsidR="00F274AC" w:rsidRPr="008405A5">
        <w:rPr>
          <w:rFonts w:ascii="Verdana" w:hAnsi="Verdana"/>
          <w:sz w:val="24"/>
          <w:szCs w:val="24"/>
        </w:rPr>
        <w:t>t given by the EPAC committees.</w:t>
      </w:r>
      <w:r w:rsidR="001C504D" w:rsidRPr="008405A5">
        <w:rPr>
          <w:rFonts w:ascii="Verdana" w:hAnsi="Verdana"/>
          <w:sz w:val="24"/>
          <w:szCs w:val="24"/>
        </w:rPr>
        <w:t xml:space="preserve"> This was evident in including two EPAC members in the process of selecting items to be discontinued</w:t>
      </w:r>
      <w:r w:rsidR="00AE2DB8" w:rsidRPr="008405A5">
        <w:rPr>
          <w:rFonts w:ascii="Verdana" w:hAnsi="Verdana"/>
          <w:sz w:val="24"/>
          <w:szCs w:val="24"/>
        </w:rPr>
        <w:t xml:space="preserve"> and providing the Envision Kit without the optical aids.</w:t>
      </w:r>
    </w:p>
    <w:p w14:paraId="735061E1" w14:textId="77777777" w:rsidR="00C56550" w:rsidRPr="008405A5" w:rsidRDefault="001C504D" w:rsidP="008405A5">
      <w:pPr>
        <w:pStyle w:val="ListParagraph"/>
        <w:numPr>
          <w:ilvl w:val="0"/>
          <w:numId w:val="6"/>
        </w:numPr>
        <w:spacing w:line="360" w:lineRule="auto"/>
        <w:rPr>
          <w:rFonts w:ascii="Verdana" w:hAnsi="Verdana"/>
          <w:sz w:val="24"/>
          <w:szCs w:val="24"/>
        </w:rPr>
      </w:pPr>
      <w:r w:rsidRPr="008405A5">
        <w:rPr>
          <w:rFonts w:ascii="Verdana" w:hAnsi="Verdana"/>
          <w:sz w:val="24"/>
          <w:szCs w:val="24"/>
        </w:rPr>
        <w:t>Developing a plan for launch of prod</w:t>
      </w:r>
      <w:r w:rsidR="00F274AC" w:rsidRPr="008405A5">
        <w:rPr>
          <w:rFonts w:ascii="Verdana" w:hAnsi="Verdana"/>
          <w:sz w:val="24"/>
          <w:szCs w:val="24"/>
        </w:rPr>
        <w:t>ucts for instruction on coding.</w:t>
      </w:r>
      <w:r w:rsidRPr="008405A5">
        <w:rPr>
          <w:rFonts w:ascii="Verdana" w:hAnsi="Verdana"/>
          <w:sz w:val="24"/>
          <w:szCs w:val="24"/>
        </w:rPr>
        <w:t xml:space="preserve"> From the Code Jumper to the latest RC Snap Rover Kit, these products have opened doors for the visually impaired and blind students that did not exist previously. It is obvious much research and thought w</w:t>
      </w:r>
      <w:r w:rsidR="00777C54" w:rsidRPr="008405A5">
        <w:rPr>
          <w:rFonts w:ascii="Verdana" w:hAnsi="Verdana"/>
          <w:sz w:val="24"/>
          <w:szCs w:val="24"/>
        </w:rPr>
        <w:t>ere</w:t>
      </w:r>
      <w:r w:rsidRPr="008405A5">
        <w:rPr>
          <w:rFonts w:ascii="Verdana" w:hAnsi="Verdana"/>
          <w:sz w:val="24"/>
          <w:szCs w:val="24"/>
        </w:rPr>
        <w:t xml:space="preserve"> put into the connectivity between the products </w:t>
      </w:r>
      <w:r w:rsidR="00777C54" w:rsidRPr="008405A5">
        <w:rPr>
          <w:rFonts w:ascii="Verdana" w:hAnsi="Verdana"/>
          <w:sz w:val="24"/>
          <w:szCs w:val="24"/>
        </w:rPr>
        <w:t>as</w:t>
      </w:r>
      <w:r w:rsidRPr="008405A5">
        <w:rPr>
          <w:rFonts w:ascii="Verdana" w:hAnsi="Verdana"/>
          <w:sz w:val="24"/>
          <w:szCs w:val="24"/>
        </w:rPr>
        <w:t xml:space="preserve"> they build upon each other for instruction.</w:t>
      </w:r>
      <w:r w:rsidR="00777C54" w:rsidRPr="008405A5">
        <w:rPr>
          <w:rFonts w:ascii="Verdana" w:hAnsi="Verdana"/>
          <w:sz w:val="24"/>
          <w:szCs w:val="24"/>
        </w:rPr>
        <w:t xml:space="preserve"> </w:t>
      </w:r>
      <w:r w:rsidR="00FB4953" w:rsidRPr="008405A5">
        <w:rPr>
          <w:rFonts w:ascii="Verdana" w:hAnsi="Verdana"/>
          <w:sz w:val="24"/>
          <w:szCs w:val="24"/>
        </w:rPr>
        <w:t>Each product is amazing on its own merits but together form an outstanding experience in learning the foundational concepts of coding.</w:t>
      </w:r>
    </w:p>
    <w:p w14:paraId="6DC7F96F" w14:textId="77777777" w:rsidR="00473FE7" w:rsidRPr="008405A5" w:rsidRDefault="00473FE7" w:rsidP="008405A5">
      <w:pPr>
        <w:pStyle w:val="ListParagraph"/>
        <w:numPr>
          <w:ilvl w:val="0"/>
          <w:numId w:val="6"/>
        </w:numPr>
        <w:spacing w:line="360" w:lineRule="auto"/>
        <w:rPr>
          <w:rFonts w:ascii="Verdana" w:hAnsi="Verdana"/>
          <w:sz w:val="24"/>
          <w:szCs w:val="24"/>
        </w:rPr>
      </w:pPr>
      <w:r w:rsidRPr="008405A5">
        <w:rPr>
          <w:rFonts w:ascii="Verdana" w:hAnsi="Verdana"/>
          <w:sz w:val="24"/>
          <w:szCs w:val="24"/>
        </w:rPr>
        <w:t>Releasing an exceptional group of technology products in a year when they were vital</w:t>
      </w:r>
      <w:r w:rsidR="00F274AC" w:rsidRPr="008405A5">
        <w:rPr>
          <w:rFonts w:ascii="Verdana" w:hAnsi="Verdana"/>
          <w:sz w:val="24"/>
          <w:szCs w:val="24"/>
        </w:rPr>
        <w:t xml:space="preserve"> to virtual classroom settings.</w:t>
      </w:r>
      <w:r w:rsidRPr="008405A5">
        <w:rPr>
          <w:rFonts w:ascii="Verdana" w:hAnsi="Verdana"/>
          <w:sz w:val="24"/>
          <w:szCs w:val="24"/>
        </w:rPr>
        <w:t xml:space="preserve"> We specifically recognize the Mantis Q40, Chameleon 20, Page Blaster and Pix Blaster. Having access to portable embossers was vital to braille production for TVIs who were serving students both in the classroom and in virtual settings, sometimes at the same time!</w:t>
      </w:r>
    </w:p>
    <w:p w14:paraId="2BB90B8A" w14:textId="77777777" w:rsidR="00D51E29" w:rsidRPr="008405A5" w:rsidRDefault="00D51E29" w:rsidP="008405A5">
      <w:pPr>
        <w:pStyle w:val="ListParagraph"/>
        <w:numPr>
          <w:ilvl w:val="0"/>
          <w:numId w:val="6"/>
        </w:numPr>
        <w:spacing w:line="360" w:lineRule="auto"/>
        <w:ind w:left="630"/>
        <w:rPr>
          <w:rFonts w:ascii="Verdana" w:hAnsi="Verdana"/>
          <w:sz w:val="24"/>
          <w:szCs w:val="24"/>
        </w:rPr>
      </w:pPr>
      <w:r w:rsidRPr="008405A5">
        <w:rPr>
          <w:rFonts w:ascii="Verdana" w:hAnsi="Verdana"/>
          <w:sz w:val="24"/>
          <w:szCs w:val="24"/>
        </w:rPr>
        <w:t>Engaging the field of service providers by providing numerous webinars directly related to the use of APH products.</w:t>
      </w:r>
    </w:p>
    <w:p w14:paraId="74FC7C7B" w14:textId="77777777" w:rsidR="00D51E29" w:rsidRPr="008405A5" w:rsidRDefault="00752F71" w:rsidP="008405A5">
      <w:pPr>
        <w:pStyle w:val="ListParagraph"/>
        <w:numPr>
          <w:ilvl w:val="0"/>
          <w:numId w:val="6"/>
        </w:numPr>
        <w:spacing w:line="360" w:lineRule="auto"/>
        <w:rPr>
          <w:rFonts w:ascii="Verdana" w:hAnsi="Verdana"/>
          <w:sz w:val="24"/>
          <w:szCs w:val="24"/>
        </w:rPr>
      </w:pPr>
      <w:r w:rsidRPr="008405A5">
        <w:rPr>
          <w:rFonts w:ascii="Verdana" w:hAnsi="Verdana"/>
          <w:sz w:val="24"/>
          <w:szCs w:val="24"/>
        </w:rPr>
        <w:lastRenderedPageBreak/>
        <w:t>Releasing products that utilize principles of u</w:t>
      </w:r>
      <w:r w:rsidR="00D51E29" w:rsidRPr="008405A5">
        <w:rPr>
          <w:rFonts w:ascii="Verdana" w:hAnsi="Verdana"/>
          <w:sz w:val="24"/>
          <w:szCs w:val="24"/>
        </w:rPr>
        <w:t>niversal design</w:t>
      </w:r>
      <w:r w:rsidRPr="008405A5">
        <w:rPr>
          <w:rFonts w:ascii="Verdana" w:hAnsi="Verdana"/>
          <w:sz w:val="24"/>
          <w:szCs w:val="24"/>
        </w:rPr>
        <w:t xml:space="preserve"> and for allowing students to customize </w:t>
      </w:r>
      <w:r w:rsidR="00D51E29" w:rsidRPr="008405A5">
        <w:rPr>
          <w:rFonts w:ascii="Verdana" w:hAnsi="Verdana"/>
          <w:sz w:val="24"/>
          <w:szCs w:val="24"/>
        </w:rPr>
        <w:t>products</w:t>
      </w:r>
      <w:r w:rsidRPr="008405A5">
        <w:rPr>
          <w:rFonts w:ascii="Verdana" w:hAnsi="Verdana"/>
          <w:sz w:val="24"/>
          <w:szCs w:val="24"/>
        </w:rPr>
        <w:t xml:space="preserve"> based on their preferences and interests to meet their individual needs.</w:t>
      </w:r>
    </w:p>
    <w:p w14:paraId="1540623D" w14:textId="77777777" w:rsidR="008405A5" w:rsidRDefault="00752F71" w:rsidP="008405A5">
      <w:pPr>
        <w:pStyle w:val="ListParagraph"/>
        <w:numPr>
          <w:ilvl w:val="0"/>
          <w:numId w:val="6"/>
        </w:numPr>
        <w:tabs>
          <w:tab w:val="left" w:pos="720"/>
        </w:tabs>
        <w:spacing w:line="360" w:lineRule="auto"/>
        <w:ind w:hanging="450"/>
        <w:rPr>
          <w:rFonts w:ascii="Verdana" w:hAnsi="Verdana"/>
          <w:sz w:val="24"/>
          <w:szCs w:val="24"/>
        </w:rPr>
      </w:pPr>
      <w:r w:rsidRPr="008405A5">
        <w:rPr>
          <w:rFonts w:ascii="Verdana" w:hAnsi="Verdana"/>
          <w:sz w:val="24"/>
          <w:szCs w:val="24"/>
        </w:rPr>
        <w:t>Increased focused and d</w:t>
      </w:r>
      <w:r w:rsidR="00AE2DB8" w:rsidRPr="008405A5">
        <w:rPr>
          <w:rFonts w:ascii="Verdana" w:hAnsi="Verdana"/>
          <w:sz w:val="24"/>
          <w:szCs w:val="24"/>
        </w:rPr>
        <w:t>evelopment of STEM products</w:t>
      </w:r>
      <w:r w:rsidRPr="008405A5">
        <w:rPr>
          <w:rFonts w:ascii="Verdana" w:hAnsi="Verdana"/>
          <w:sz w:val="24"/>
          <w:szCs w:val="24"/>
        </w:rPr>
        <w:t xml:space="preserve"> for students who are blind or low vision.</w:t>
      </w:r>
      <w:r w:rsidR="00717A8B" w:rsidRPr="008405A5">
        <w:rPr>
          <w:rFonts w:ascii="Verdana" w:hAnsi="Verdana"/>
          <w:sz w:val="24"/>
          <w:szCs w:val="24"/>
        </w:rPr>
        <w:t xml:space="preserve"> Graph Benders, Build-a-Cell, various coding products, and Practice2Master Abacus App are examples of products that are customizable and meet the needs of students.</w:t>
      </w:r>
    </w:p>
    <w:p w14:paraId="620572D5" w14:textId="77777777" w:rsidR="00AE2DB8" w:rsidRPr="008405A5" w:rsidRDefault="00717A8B" w:rsidP="008405A5">
      <w:pPr>
        <w:pStyle w:val="ListParagraph"/>
        <w:numPr>
          <w:ilvl w:val="0"/>
          <w:numId w:val="6"/>
        </w:numPr>
        <w:spacing w:line="360" w:lineRule="auto"/>
        <w:ind w:hanging="540"/>
        <w:rPr>
          <w:rFonts w:ascii="Verdana" w:hAnsi="Verdana"/>
          <w:sz w:val="24"/>
          <w:szCs w:val="24"/>
        </w:rPr>
      </w:pPr>
      <w:r w:rsidRPr="008405A5">
        <w:rPr>
          <w:rFonts w:ascii="Verdana" w:hAnsi="Verdana"/>
          <w:sz w:val="24"/>
          <w:szCs w:val="24"/>
        </w:rPr>
        <w:t>The updating and refreshing of products such as the Barraga, SLK,</w:t>
      </w:r>
      <w:r w:rsidR="00592A42" w:rsidRPr="008405A5">
        <w:rPr>
          <w:rFonts w:ascii="Verdana" w:hAnsi="Verdana"/>
          <w:sz w:val="24"/>
          <w:szCs w:val="24"/>
        </w:rPr>
        <w:t xml:space="preserve"> Wilson Reading IV, </w:t>
      </w:r>
      <w:proofErr w:type="spellStart"/>
      <w:r w:rsidR="00592A42" w:rsidRPr="008405A5">
        <w:rPr>
          <w:rFonts w:ascii="Verdana" w:hAnsi="Verdana"/>
          <w:sz w:val="24"/>
          <w:szCs w:val="24"/>
        </w:rPr>
        <w:t>KeyMath</w:t>
      </w:r>
      <w:proofErr w:type="spellEnd"/>
      <w:r w:rsidR="00592A42" w:rsidRPr="008405A5">
        <w:rPr>
          <w:rFonts w:ascii="Verdana" w:hAnsi="Verdana"/>
          <w:sz w:val="24"/>
          <w:szCs w:val="24"/>
        </w:rPr>
        <w:t>, Brigance, and addition of the alphabet tiles for the Reach and Match Learning Kit.</w:t>
      </w:r>
      <w:r w:rsidRPr="00592A42">
        <w:t xml:space="preserve"> </w:t>
      </w:r>
    </w:p>
    <w:p w14:paraId="061349D2" w14:textId="77777777" w:rsidR="0010107D" w:rsidRPr="00C56550" w:rsidRDefault="004F2C49" w:rsidP="00A301B4">
      <w:pPr>
        <w:spacing w:line="360" w:lineRule="auto"/>
        <w:rPr>
          <w:rFonts w:ascii="Verdana" w:hAnsi="Verdana"/>
          <w:b/>
          <w:sz w:val="24"/>
          <w:szCs w:val="24"/>
        </w:rPr>
      </w:pPr>
      <w:r w:rsidRPr="00C56550">
        <w:rPr>
          <w:rFonts w:ascii="Verdana" w:hAnsi="Verdana"/>
          <w:b/>
          <w:sz w:val="24"/>
          <w:szCs w:val="24"/>
        </w:rPr>
        <w:t>Consistent with the Act to Promote the Education of the Blind (1879), the Educational Products Advisory Committee (EPAC) recommends that APH:</w:t>
      </w:r>
    </w:p>
    <w:p w14:paraId="2D03BB1B" w14:textId="77777777" w:rsidR="008962BC" w:rsidRPr="00D51E29" w:rsidRDefault="00DD4A97" w:rsidP="00A301B4">
      <w:pPr>
        <w:pStyle w:val="ListParagraph"/>
        <w:numPr>
          <w:ilvl w:val="0"/>
          <w:numId w:val="1"/>
        </w:numPr>
        <w:spacing w:line="360" w:lineRule="auto"/>
        <w:rPr>
          <w:rFonts w:ascii="Verdana" w:hAnsi="Verdana"/>
          <w:sz w:val="24"/>
          <w:szCs w:val="24"/>
        </w:rPr>
      </w:pPr>
      <w:r w:rsidRPr="00D51E29">
        <w:rPr>
          <w:rFonts w:ascii="Verdana" w:hAnsi="Verdana"/>
          <w:sz w:val="24"/>
          <w:szCs w:val="24"/>
        </w:rPr>
        <w:t>Develop</w:t>
      </w:r>
      <w:r w:rsidR="00592A42">
        <w:rPr>
          <w:rFonts w:ascii="Verdana" w:hAnsi="Verdana"/>
          <w:sz w:val="24"/>
          <w:szCs w:val="24"/>
        </w:rPr>
        <w:t xml:space="preserve"> and utilize</w:t>
      </w:r>
      <w:r w:rsidRPr="00D51E29">
        <w:rPr>
          <w:rFonts w:ascii="Verdana" w:hAnsi="Verdana"/>
          <w:sz w:val="24"/>
          <w:szCs w:val="24"/>
        </w:rPr>
        <w:t xml:space="preserve"> QR codes</w:t>
      </w:r>
      <w:r w:rsidR="00592A42">
        <w:rPr>
          <w:rFonts w:ascii="Verdana" w:hAnsi="Verdana"/>
          <w:sz w:val="24"/>
          <w:szCs w:val="24"/>
        </w:rPr>
        <w:t xml:space="preserve"> or a similar technology,</w:t>
      </w:r>
      <w:r w:rsidRPr="00D51E29">
        <w:rPr>
          <w:rFonts w:ascii="Verdana" w:hAnsi="Verdana"/>
          <w:sz w:val="24"/>
          <w:szCs w:val="24"/>
        </w:rPr>
        <w:t xml:space="preserve"> for APH products that would </w:t>
      </w:r>
      <w:r w:rsidR="00592A42">
        <w:rPr>
          <w:rFonts w:ascii="Verdana" w:hAnsi="Verdana"/>
          <w:sz w:val="24"/>
          <w:szCs w:val="24"/>
        </w:rPr>
        <w:t xml:space="preserve">link to </w:t>
      </w:r>
      <w:r w:rsidRPr="00D51E29">
        <w:rPr>
          <w:rFonts w:ascii="Verdana" w:hAnsi="Verdana"/>
          <w:sz w:val="24"/>
          <w:szCs w:val="24"/>
        </w:rPr>
        <w:t>URL for training webinars in The Hive, APH website page with related items,</w:t>
      </w:r>
      <w:r w:rsidR="0010107D" w:rsidRPr="00D51E29">
        <w:rPr>
          <w:rFonts w:ascii="Verdana" w:hAnsi="Verdana"/>
          <w:sz w:val="24"/>
          <w:szCs w:val="24"/>
        </w:rPr>
        <w:t xml:space="preserve"> parts list for kits, manuals</w:t>
      </w:r>
      <w:r w:rsidRPr="00D51E29">
        <w:rPr>
          <w:rFonts w:ascii="Verdana" w:hAnsi="Verdana"/>
          <w:sz w:val="24"/>
          <w:szCs w:val="24"/>
        </w:rPr>
        <w:t xml:space="preserve"> and product feedback. A possible launching </w:t>
      </w:r>
      <w:r w:rsidRPr="00FB4953">
        <w:rPr>
          <w:rFonts w:ascii="Verdana" w:hAnsi="Verdana"/>
          <w:sz w:val="24"/>
          <w:szCs w:val="24"/>
        </w:rPr>
        <w:t>pad would be newer items that have training webinars in place.</w:t>
      </w:r>
      <w:r w:rsidR="00FB4953" w:rsidRPr="00FB4953">
        <w:rPr>
          <w:rFonts w:ascii="Verdana" w:hAnsi="Verdana"/>
          <w:sz w:val="24"/>
          <w:szCs w:val="24"/>
        </w:rPr>
        <w:t xml:space="preserve"> This could eventually be expanded to gather </w:t>
      </w:r>
      <w:r w:rsidR="00F274AC">
        <w:rPr>
          <w:rFonts w:ascii="Verdana" w:hAnsi="Verdana"/>
          <w:sz w:val="24"/>
          <w:szCs w:val="24"/>
        </w:rPr>
        <w:t xml:space="preserve">customer reviews for products. </w:t>
      </w:r>
      <w:r w:rsidR="00FB4953" w:rsidRPr="00FB4953">
        <w:rPr>
          <w:rFonts w:ascii="Verdana" w:hAnsi="Verdana"/>
          <w:sz w:val="24"/>
          <w:szCs w:val="24"/>
        </w:rPr>
        <w:t>Something as simple as a rating scale or a thumbs up</w:t>
      </w:r>
      <w:r w:rsidR="00FB4953">
        <w:rPr>
          <w:rFonts w:ascii="Verdana" w:hAnsi="Verdana"/>
          <w:sz w:val="24"/>
          <w:szCs w:val="24"/>
        </w:rPr>
        <w:t>/</w:t>
      </w:r>
      <w:r w:rsidR="00FB4953" w:rsidRPr="00FB4953">
        <w:rPr>
          <w:rFonts w:ascii="Verdana" w:hAnsi="Verdana"/>
          <w:sz w:val="24"/>
          <w:szCs w:val="24"/>
        </w:rPr>
        <w:t>thumbs down would give APH valuable data on the usefulness of a product.</w:t>
      </w:r>
    </w:p>
    <w:p w14:paraId="032DCF08" w14:textId="77777777" w:rsidR="00DD4A97" w:rsidRPr="00D51E29" w:rsidRDefault="00DD4A97" w:rsidP="00A301B4">
      <w:pPr>
        <w:pStyle w:val="ListParagraph"/>
        <w:numPr>
          <w:ilvl w:val="0"/>
          <w:numId w:val="1"/>
        </w:numPr>
        <w:spacing w:line="360" w:lineRule="auto"/>
        <w:rPr>
          <w:rFonts w:ascii="Verdana" w:hAnsi="Verdana"/>
          <w:sz w:val="24"/>
          <w:szCs w:val="24"/>
        </w:rPr>
      </w:pPr>
      <w:r w:rsidRPr="00D51E29">
        <w:rPr>
          <w:rFonts w:ascii="Verdana" w:hAnsi="Verdana"/>
          <w:sz w:val="24"/>
          <w:szCs w:val="24"/>
        </w:rPr>
        <w:t xml:space="preserve">When researching and developing new Math and Science products, the final product should be </w:t>
      </w:r>
      <w:r w:rsidR="004B5A03" w:rsidRPr="00D51E29">
        <w:rPr>
          <w:rFonts w:ascii="Verdana" w:hAnsi="Verdana"/>
          <w:sz w:val="24"/>
          <w:szCs w:val="24"/>
        </w:rPr>
        <w:t>produced</w:t>
      </w:r>
      <w:r w:rsidRPr="00D51E29">
        <w:rPr>
          <w:rFonts w:ascii="Verdana" w:hAnsi="Verdana"/>
          <w:sz w:val="24"/>
          <w:szCs w:val="24"/>
        </w:rPr>
        <w:t xml:space="preserve"> in both UEB Math and Science AND Nemeth Math and Science codes</w:t>
      </w:r>
      <w:r w:rsidR="0010107D" w:rsidRPr="00D51E29">
        <w:rPr>
          <w:rFonts w:ascii="Verdana" w:hAnsi="Verdana"/>
          <w:sz w:val="24"/>
          <w:szCs w:val="24"/>
        </w:rPr>
        <w:t xml:space="preserve"> and included in one kit.</w:t>
      </w:r>
    </w:p>
    <w:p w14:paraId="0F6C1FAE" w14:textId="77777777" w:rsidR="004B5A03" w:rsidRPr="00D51E29" w:rsidRDefault="001257D1" w:rsidP="00A301B4">
      <w:pPr>
        <w:pStyle w:val="ListParagraph"/>
        <w:numPr>
          <w:ilvl w:val="0"/>
          <w:numId w:val="1"/>
        </w:numPr>
        <w:spacing w:line="360" w:lineRule="auto"/>
        <w:rPr>
          <w:rFonts w:ascii="Verdana" w:hAnsi="Verdana"/>
          <w:sz w:val="24"/>
          <w:szCs w:val="24"/>
        </w:rPr>
      </w:pPr>
      <w:r w:rsidRPr="00D51E29">
        <w:rPr>
          <w:rFonts w:ascii="Verdana" w:hAnsi="Verdana"/>
          <w:sz w:val="24"/>
          <w:szCs w:val="24"/>
        </w:rPr>
        <w:t>All discontinued items should</w:t>
      </w:r>
      <w:r w:rsidR="00592A42">
        <w:rPr>
          <w:rFonts w:ascii="Verdana" w:hAnsi="Verdana"/>
          <w:sz w:val="24"/>
          <w:szCs w:val="24"/>
        </w:rPr>
        <w:t xml:space="preserve"> consistently</w:t>
      </w:r>
      <w:r w:rsidRPr="00D51E29">
        <w:rPr>
          <w:rFonts w:ascii="Verdana" w:hAnsi="Verdana"/>
          <w:sz w:val="24"/>
          <w:szCs w:val="24"/>
        </w:rPr>
        <w:t xml:space="preserve"> be marked on the website. </w:t>
      </w:r>
      <w:r w:rsidR="00592A42">
        <w:rPr>
          <w:rFonts w:ascii="Verdana" w:hAnsi="Verdana"/>
          <w:sz w:val="24"/>
          <w:szCs w:val="24"/>
        </w:rPr>
        <w:t xml:space="preserve">For items that are </w:t>
      </w:r>
      <w:r w:rsidR="002F3EE8">
        <w:rPr>
          <w:rFonts w:ascii="Verdana" w:hAnsi="Verdana"/>
          <w:sz w:val="24"/>
          <w:szCs w:val="24"/>
        </w:rPr>
        <w:t xml:space="preserve">being </w:t>
      </w:r>
      <w:r w:rsidRPr="00D51E29">
        <w:rPr>
          <w:rFonts w:ascii="Verdana" w:hAnsi="Verdana"/>
          <w:sz w:val="24"/>
          <w:szCs w:val="24"/>
        </w:rPr>
        <w:t>discontinued</w:t>
      </w:r>
      <w:r w:rsidR="002F3EE8">
        <w:rPr>
          <w:rFonts w:ascii="Verdana" w:hAnsi="Verdana"/>
          <w:sz w:val="24"/>
          <w:szCs w:val="24"/>
        </w:rPr>
        <w:t xml:space="preserve"> and</w:t>
      </w:r>
      <w:r w:rsidRPr="00D51E29">
        <w:rPr>
          <w:rFonts w:ascii="Verdana" w:hAnsi="Verdana"/>
          <w:sz w:val="24"/>
          <w:szCs w:val="24"/>
        </w:rPr>
        <w:t xml:space="preserve"> still </w:t>
      </w:r>
      <w:r w:rsidR="002F3EE8">
        <w:rPr>
          <w:rFonts w:ascii="Verdana" w:hAnsi="Verdana"/>
          <w:sz w:val="24"/>
          <w:szCs w:val="24"/>
        </w:rPr>
        <w:t xml:space="preserve">have </w:t>
      </w:r>
      <w:r w:rsidRPr="00D51E29">
        <w:rPr>
          <w:rFonts w:ascii="Verdana" w:hAnsi="Verdana"/>
          <w:sz w:val="24"/>
          <w:szCs w:val="24"/>
        </w:rPr>
        <w:t>copies available to purchase</w:t>
      </w:r>
      <w:r w:rsidR="002F3EE8">
        <w:rPr>
          <w:rFonts w:ascii="Verdana" w:hAnsi="Verdana"/>
          <w:sz w:val="24"/>
          <w:szCs w:val="24"/>
        </w:rPr>
        <w:t>, there is no indication they are discontinued.</w:t>
      </w:r>
      <w:r w:rsidR="00F274AC">
        <w:rPr>
          <w:rFonts w:ascii="Verdana" w:hAnsi="Verdana"/>
          <w:sz w:val="24"/>
          <w:szCs w:val="24"/>
        </w:rPr>
        <w:t xml:space="preserve"> </w:t>
      </w:r>
      <w:r w:rsidR="00783783" w:rsidRPr="00D51E29">
        <w:rPr>
          <w:rFonts w:ascii="Verdana" w:hAnsi="Verdana"/>
          <w:sz w:val="24"/>
          <w:szCs w:val="24"/>
        </w:rPr>
        <w:t>For example, Bumpy Rolls Away is an item that has been discontinued</w:t>
      </w:r>
      <w:r w:rsidR="00C56550">
        <w:rPr>
          <w:rFonts w:ascii="Verdana" w:hAnsi="Verdana"/>
          <w:sz w:val="24"/>
          <w:szCs w:val="24"/>
        </w:rPr>
        <w:t xml:space="preserve"> but t</w:t>
      </w:r>
      <w:r w:rsidR="00783783" w:rsidRPr="00D51E29">
        <w:rPr>
          <w:rFonts w:ascii="Verdana" w:hAnsi="Verdana"/>
          <w:sz w:val="24"/>
          <w:szCs w:val="24"/>
        </w:rPr>
        <w:t>here are currently 100+ copies available for purchase</w:t>
      </w:r>
      <w:r w:rsidR="00C56550">
        <w:rPr>
          <w:rFonts w:ascii="Verdana" w:hAnsi="Verdana"/>
          <w:sz w:val="24"/>
          <w:szCs w:val="24"/>
        </w:rPr>
        <w:t>.</w:t>
      </w:r>
      <w:r w:rsidR="00783783" w:rsidRPr="00D51E29">
        <w:rPr>
          <w:rFonts w:ascii="Verdana" w:hAnsi="Verdana"/>
          <w:sz w:val="24"/>
          <w:szCs w:val="24"/>
        </w:rPr>
        <w:t xml:space="preserve"> An indication that this </w:t>
      </w:r>
      <w:r w:rsidR="00783783" w:rsidRPr="00D51E29">
        <w:rPr>
          <w:rFonts w:ascii="Verdana" w:hAnsi="Verdana"/>
          <w:sz w:val="24"/>
          <w:szCs w:val="24"/>
        </w:rPr>
        <w:lastRenderedPageBreak/>
        <w:t>has been discontinued and will no longer be available once the 100 copies are gone should be stated.</w:t>
      </w:r>
    </w:p>
    <w:p w14:paraId="42080B6A" w14:textId="77777777" w:rsidR="0010107D" w:rsidRPr="003B66D4" w:rsidRDefault="0010107D" w:rsidP="00A301B4">
      <w:pPr>
        <w:pStyle w:val="ListParagraph"/>
        <w:numPr>
          <w:ilvl w:val="0"/>
          <w:numId w:val="1"/>
        </w:numPr>
        <w:spacing w:line="360" w:lineRule="auto"/>
        <w:rPr>
          <w:rFonts w:ascii="Verdana" w:hAnsi="Verdana"/>
          <w:sz w:val="24"/>
          <w:szCs w:val="24"/>
        </w:rPr>
      </w:pPr>
      <w:r w:rsidRPr="00D51E29">
        <w:rPr>
          <w:rFonts w:ascii="Verdana" w:hAnsi="Verdana"/>
          <w:sz w:val="24"/>
          <w:szCs w:val="24"/>
        </w:rPr>
        <w:t>Continue to</w:t>
      </w:r>
      <w:r w:rsidR="002F3EE8">
        <w:rPr>
          <w:rFonts w:ascii="Verdana" w:hAnsi="Verdana"/>
          <w:sz w:val="24"/>
          <w:szCs w:val="24"/>
        </w:rPr>
        <w:t xml:space="preserve"> improve the website to</w:t>
      </w:r>
      <w:r w:rsidRPr="00D51E29">
        <w:rPr>
          <w:rFonts w:ascii="Verdana" w:hAnsi="Verdana"/>
          <w:sz w:val="24"/>
          <w:szCs w:val="24"/>
        </w:rPr>
        <w:t xml:space="preserve"> insure all products</w:t>
      </w:r>
      <w:r w:rsidR="002F3EE8">
        <w:rPr>
          <w:rFonts w:ascii="Verdana" w:hAnsi="Verdana"/>
          <w:sz w:val="24"/>
          <w:szCs w:val="24"/>
        </w:rPr>
        <w:t xml:space="preserve"> and textbooks</w:t>
      </w:r>
      <w:r w:rsidRPr="00D51E29">
        <w:rPr>
          <w:rFonts w:ascii="Verdana" w:hAnsi="Verdana"/>
          <w:sz w:val="24"/>
          <w:szCs w:val="24"/>
        </w:rPr>
        <w:t xml:space="preserve"> that are available for purchase can be found on the website and placed in shopping c</w:t>
      </w:r>
      <w:r w:rsidR="00F274AC">
        <w:rPr>
          <w:rFonts w:ascii="Verdana" w:hAnsi="Verdana"/>
          <w:sz w:val="24"/>
          <w:szCs w:val="24"/>
        </w:rPr>
        <w:t xml:space="preserve">art. </w:t>
      </w:r>
      <w:r w:rsidRPr="00D51E29">
        <w:rPr>
          <w:rFonts w:ascii="Verdana" w:hAnsi="Verdana"/>
          <w:sz w:val="24"/>
          <w:szCs w:val="24"/>
        </w:rPr>
        <w:t>There have been times when a product can not be pulled up on the website and customers must contact Customer Experience to s</w:t>
      </w:r>
      <w:r w:rsidR="00F274AC">
        <w:rPr>
          <w:rFonts w:ascii="Verdana" w:hAnsi="Verdana"/>
          <w:sz w:val="24"/>
          <w:szCs w:val="24"/>
        </w:rPr>
        <w:t>ee if the product is available.</w:t>
      </w:r>
      <w:r w:rsidRPr="00D51E29">
        <w:rPr>
          <w:rFonts w:ascii="Verdana" w:hAnsi="Verdana"/>
          <w:sz w:val="24"/>
          <w:szCs w:val="24"/>
        </w:rPr>
        <w:t xml:space="preserve"> Other times, the product is found but for some reason cannot be placed into the shopping cart </w:t>
      </w:r>
      <w:r w:rsidRPr="003B66D4">
        <w:rPr>
          <w:rFonts w:ascii="Verdana" w:hAnsi="Verdana"/>
          <w:sz w:val="24"/>
          <w:szCs w:val="24"/>
        </w:rPr>
        <w:t>for purchase.</w:t>
      </w:r>
      <w:r w:rsidR="00D51E29" w:rsidRPr="003B66D4">
        <w:rPr>
          <w:rFonts w:ascii="Verdana" w:hAnsi="Verdana"/>
          <w:sz w:val="24"/>
          <w:szCs w:val="24"/>
        </w:rPr>
        <w:t xml:space="preserve"> </w:t>
      </w:r>
    </w:p>
    <w:p w14:paraId="49AAAAA3" w14:textId="77777777" w:rsidR="00AE2DB8" w:rsidRPr="003B66D4" w:rsidRDefault="002F3EE8" w:rsidP="00A301B4">
      <w:pPr>
        <w:pStyle w:val="ListParagraph"/>
        <w:numPr>
          <w:ilvl w:val="0"/>
          <w:numId w:val="1"/>
        </w:numPr>
        <w:spacing w:line="360" w:lineRule="auto"/>
        <w:rPr>
          <w:rFonts w:ascii="Verdana" w:hAnsi="Verdana"/>
          <w:sz w:val="24"/>
          <w:szCs w:val="24"/>
        </w:rPr>
      </w:pPr>
      <w:r w:rsidRPr="003B66D4">
        <w:rPr>
          <w:rFonts w:ascii="Verdana" w:hAnsi="Verdana"/>
          <w:sz w:val="24"/>
          <w:szCs w:val="24"/>
        </w:rPr>
        <w:t>Although including EOTs in the obsolescence process has been beneficial, to receive more authentic and relevant feedback, TVIs and service providers should be included in the process.</w:t>
      </w:r>
      <w:r w:rsidR="007C322B" w:rsidRPr="003B66D4">
        <w:rPr>
          <w:rFonts w:ascii="Verdana" w:hAnsi="Verdana"/>
          <w:sz w:val="24"/>
          <w:szCs w:val="24"/>
        </w:rPr>
        <w:t xml:space="preserve"> Consider utilizing EOTs to access a cadre of engaged and knowledgeable service providers from each state willing to provide this type of feedback. Transition</w:t>
      </w:r>
      <w:r w:rsidR="00BD024E" w:rsidRPr="003B66D4">
        <w:rPr>
          <w:rFonts w:ascii="Verdana" w:hAnsi="Verdana"/>
          <w:sz w:val="24"/>
          <w:szCs w:val="24"/>
        </w:rPr>
        <w:t>-age</w:t>
      </w:r>
      <w:r w:rsidR="007C322B" w:rsidRPr="003B66D4">
        <w:rPr>
          <w:rFonts w:ascii="Verdana" w:hAnsi="Verdana"/>
          <w:sz w:val="24"/>
          <w:szCs w:val="24"/>
        </w:rPr>
        <w:t xml:space="preserve"> students </w:t>
      </w:r>
      <w:r w:rsidR="00BD024E" w:rsidRPr="003B66D4">
        <w:rPr>
          <w:rFonts w:ascii="Verdana" w:hAnsi="Verdana"/>
          <w:sz w:val="24"/>
          <w:szCs w:val="24"/>
        </w:rPr>
        <w:t>may be another valuable source of feedback.</w:t>
      </w:r>
    </w:p>
    <w:p w14:paraId="336113D8" w14:textId="77777777" w:rsidR="00AE2DB8" w:rsidRDefault="00BD024E" w:rsidP="00A301B4">
      <w:pPr>
        <w:pStyle w:val="ListParagraph"/>
        <w:numPr>
          <w:ilvl w:val="0"/>
          <w:numId w:val="1"/>
        </w:numPr>
        <w:spacing w:line="360" w:lineRule="auto"/>
        <w:rPr>
          <w:rFonts w:ascii="Verdana" w:hAnsi="Verdana"/>
          <w:sz w:val="24"/>
          <w:szCs w:val="24"/>
        </w:rPr>
      </w:pPr>
      <w:r w:rsidRPr="003B66D4">
        <w:rPr>
          <w:rFonts w:ascii="Verdana" w:hAnsi="Verdana"/>
          <w:sz w:val="24"/>
          <w:szCs w:val="24"/>
        </w:rPr>
        <w:t>Expand marketing efforts on new products as well as c</w:t>
      </w:r>
      <w:r w:rsidR="00AE2DB8" w:rsidRPr="003B66D4">
        <w:rPr>
          <w:rFonts w:ascii="Verdana" w:hAnsi="Verdana"/>
          <w:sz w:val="24"/>
          <w:szCs w:val="24"/>
        </w:rPr>
        <w:t>ontinue to feature the “oldies but goodies” on social media, newsletters and the website.</w:t>
      </w:r>
      <w:r w:rsidRPr="003B66D4">
        <w:rPr>
          <w:rFonts w:ascii="Verdana" w:hAnsi="Verdana"/>
          <w:sz w:val="24"/>
          <w:szCs w:val="24"/>
        </w:rPr>
        <w:t xml:space="preserve"> Some products</w:t>
      </w:r>
      <w:r w:rsidR="008B5D11" w:rsidRPr="003B66D4">
        <w:rPr>
          <w:rFonts w:ascii="Verdana" w:hAnsi="Verdana"/>
          <w:sz w:val="24"/>
          <w:szCs w:val="24"/>
        </w:rPr>
        <w:t>, such as the Health Education Guidebook for Teachers,</w:t>
      </w:r>
      <w:r w:rsidRPr="003B66D4">
        <w:rPr>
          <w:rFonts w:ascii="Verdana" w:hAnsi="Verdana"/>
          <w:sz w:val="24"/>
          <w:szCs w:val="24"/>
        </w:rPr>
        <w:t xml:space="preserve"> are more obscur</w:t>
      </w:r>
      <w:r w:rsidR="008B5D11" w:rsidRPr="003B66D4">
        <w:rPr>
          <w:rFonts w:ascii="Verdana" w:hAnsi="Verdana"/>
          <w:sz w:val="24"/>
          <w:szCs w:val="24"/>
        </w:rPr>
        <w:t xml:space="preserve">e, </w:t>
      </w:r>
      <w:r w:rsidRPr="003B66D4">
        <w:rPr>
          <w:rFonts w:ascii="Verdana" w:hAnsi="Verdana"/>
          <w:sz w:val="24"/>
          <w:szCs w:val="24"/>
        </w:rPr>
        <w:t>may be overlooked and don’t receive the promotion that other items do</w:t>
      </w:r>
      <w:r w:rsidR="008B5D11" w:rsidRPr="003B66D4">
        <w:rPr>
          <w:rFonts w:ascii="Verdana" w:hAnsi="Verdana"/>
          <w:sz w:val="24"/>
          <w:szCs w:val="24"/>
        </w:rPr>
        <w:t>.</w:t>
      </w:r>
      <w:r w:rsidRPr="003B66D4">
        <w:rPr>
          <w:rFonts w:ascii="Verdana" w:hAnsi="Verdana"/>
          <w:sz w:val="24"/>
          <w:szCs w:val="24"/>
        </w:rPr>
        <w:t xml:space="preserve"> </w:t>
      </w:r>
    </w:p>
    <w:p w14:paraId="2E431D23" w14:textId="77777777" w:rsidR="00767696" w:rsidRDefault="00767696" w:rsidP="00A301B4">
      <w:pPr>
        <w:pStyle w:val="Body1"/>
        <w:spacing w:line="360" w:lineRule="auto"/>
        <w:rPr>
          <w:rFonts w:ascii="Verdana" w:hAnsi="Verdana"/>
          <w:szCs w:val="24"/>
        </w:rPr>
      </w:pPr>
      <w:r>
        <w:rPr>
          <w:rFonts w:ascii="Verdana" w:hAnsi="Verdana"/>
          <w:szCs w:val="24"/>
        </w:rPr>
        <w:t>Respectfully Submitted,</w:t>
      </w:r>
    </w:p>
    <w:p w14:paraId="5FC18F1F" w14:textId="77777777" w:rsidR="00767696" w:rsidRDefault="00767696" w:rsidP="00A301B4">
      <w:pPr>
        <w:pStyle w:val="Body1"/>
        <w:spacing w:line="360" w:lineRule="auto"/>
        <w:rPr>
          <w:rFonts w:ascii="Verdana" w:hAnsi="Verdana"/>
          <w:szCs w:val="24"/>
        </w:rPr>
      </w:pPr>
      <w:r>
        <w:rPr>
          <w:rFonts w:ascii="Verdana" w:hAnsi="Verdana"/>
          <w:szCs w:val="24"/>
        </w:rPr>
        <w:t>Educational Products Advisory Committee 2021</w:t>
      </w:r>
    </w:p>
    <w:p w14:paraId="1F9C7613" w14:textId="77777777" w:rsidR="00FD0B83" w:rsidRDefault="00767696" w:rsidP="00A301B4">
      <w:pPr>
        <w:pStyle w:val="Body1"/>
        <w:spacing w:line="360" w:lineRule="auto"/>
        <w:ind w:firstLine="720"/>
        <w:rPr>
          <w:rFonts w:ascii="Verdana" w:hAnsi="Verdana"/>
          <w:szCs w:val="24"/>
        </w:rPr>
      </w:pPr>
      <w:r>
        <w:rPr>
          <w:rFonts w:ascii="Verdana" w:hAnsi="Verdana"/>
          <w:szCs w:val="24"/>
        </w:rPr>
        <w:t>Pepper Watson, Chair</w:t>
      </w:r>
    </w:p>
    <w:p w14:paraId="506A7A43" w14:textId="77777777" w:rsidR="00FD0B83" w:rsidRDefault="00FD0B83" w:rsidP="00A301B4">
      <w:pPr>
        <w:pStyle w:val="Body1"/>
        <w:spacing w:line="360" w:lineRule="auto"/>
        <w:ind w:firstLine="720"/>
        <w:rPr>
          <w:rFonts w:ascii="Verdana" w:hAnsi="Verdana"/>
          <w:szCs w:val="24"/>
        </w:rPr>
      </w:pPr>
      <w:r>
        <w:rPr>
          <w:rFonts w:ascii="Verdana" w:hAnsi="Verdana"/>
          <w:szCs w:val="24"/>
        </w:rPr>
        <w:t>Scott McCallum</w:t>
      </w:r>
    </w:p>
    <w:p w14:paraId="1FE1417F" w14:textId="77777777" w:rsidR="00767696" w:rsidRDefault="00767696" w:rsidP="00A301B4">
      <w:pPr>
        <w:pStyle w:val="Body1"/>
        <w:spacing w:line="360" w:lineRule="auto"/>
        <w:ind w:firstLine="720"/>
        <w:rPr>
          <w:rFonts w:ascii="Verdana" w:hAnsi="Verdana"/>
          <w:szCs w:val="24"/>
        </w:rPr>
      </w:pPr>
      <w:r>
        <w:rPr>
          <w:rFonts w:ascii="Verdana" w:hAnsi="Verdana"/>
          <w:szCs w:val="24"/>
        </w:rPr>
        <w:t>Kathy Segers</w:t>
      </w:r>
    </w:p>
    <w:p w14:paraId="1F9A60DB" w14:textId="77777777" w:rsidR="00767696" w:rsidRDefault="00767696" w:rsidP="00A301B4">
      <w:pPr>
        <w:pStyle w:val="Body1"/>
        <w:spacing w:line="360" w:lineRule="auto"/>
        <w:ind w:left="720"/>
        <w:rPr>
          <w:rFonts w:ascii="Verdana" w:hAnsi="Verdana"/>
          <w:szCs w:val="24"/>
        </w:rPr>
      </w:pPr>
      <w:r>
        <w:rPr>
          <w:rFonts w:ascii="Verdana" w:hAnsi="Verdana"/>
          <w:szCs w:val="24"/>
        </w:rPr>
        <w:t>Leslie Bechtel Van Orman</w:t>
      </w:r>
    </w:p>
    <w:p w14:paraId="0082827C" w14:textId="77777777" w:rsidR="00FD0B83" w:rsidRDefault="00FD0B83" w:rsidP="00A301B4">
      <w:pPr>
        <w:pStyle w:val="Body1"/>
        <w:spacing w:line="360" w:lineRule="auto"/>
        <w:ind w:firstLine="720"/>
        <w:rPr>
          <w:rFonts w:ascii="Verdana" w:hAnsi="Verdana"/>
          <w:szCs w:val="24"/>
        </w:rPr>
      </w:pPr>
      <w:r>
        <w:rPr>
          <w:rFonts w:ascii="Verdana" w:hAnsi="Verdana"/>
          <w:szCs w:val="24"/>
        </w:rPr>
        <w:t>Kay Ratzlaff</w:t>
      </w:r>
    </w:p>
    <w:p w14:paraId="29D4891E" w14:textId="77777777" w:rsidR="00767696" w:rsidRDefault="00767696" w:rsidP="00A301B4">
      <w:pPr>
        <w:pStyle w:val="Body1"/>
        <w:spacing w:line="360" w:lineRule="auto"/>
        <w:ind w:firstLine="720"/>
        <w:rPr>
          <w:rFonts w:ascii="Verdana" w:hAnsi="Verdana"/>
          <w:szCs w:val="24"/>
        </w:rPr>
      </w:pPr>
      <w:r>
        <w:rPr>
          <w:rFonts w:ascii="Verdana" w:hAnsi="Verdana"/>
          <w:szCs w:val="24"/>
        </w:rPr>
        <w:t>Dawn Soto</w:t>
      </w:r>
    </w:p>
    <w:p w14:paraId="599D14F9" w14:textId="77777777" w:rsidR="00767696" w:rsidRPr="00767696" w:rsidRDefault="00767696" w:rsidP="00A301B4">
      <w:pPr>
        <w:pStyle w:val="Body1"/>
        <w:spacing w:line="360" w:lineRule="auto"/>
        <w:ind w:firstLine="720"/>
        <w:rPr>
          <w:rFonts w:ascii="Verdana" w:hAnsi="Verdana"/>
          <w:szCs w:val="24"/>
        </w:rPr>
      </w:pPr>
      <w:r>
        <w:rPr>
          <w:rFonts w:ascii="Verdana" w:hAnsi="Verdana"/>
          <w:szCs w:val="24"/>
        </w:rPr>
        <w:t>Armando Venega</w:t>
      </w:r>
      <w:r w:rsidR="00932A8C">
        <w:rPr>
          <w:rFonts w:ascii="Verdana" w:hAnsi="Verdana"/>
          <w:szCs w:val="24"/>
        </w:rPr>
        <w:t>s</w:t>
      </w:r>
    </w:p>
    <w:sectPr w:rsidR="00767696" w:rsidRPr="00767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10B0C"/>
    <w:multiLevelType w:val="hybridMultilevel"/>
    <w:tmpl w:val="0D68C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B46C4D"/>
    <w:multiLevelType w:val="hybridMultilevel"/>
    <w:tmpl w:val="19320030"/>
    <w:lvl w:ilvl="0" w:tplc="E1D2F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51D0B"/>
    <w:multiLevelType w:val="hybridMultilevel"/>
    <w:tmpl w:val="3148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4C661C"/>
    <w:multiLevelType w:val="hybridMultilevel"/>
    <w:tmpl w:val="81CE420C"/>
    <w:lvl w:ilvl="0" w:tplc="E252F0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473B12"/>
    <w:multiLevelType w:val="hybridMultilevel"/>
    <w:tmpl w:val="E8303C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4"/>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97"/>
    <w:rsid w:val="0010107D"/>
    <w:rsid w:val="001257D1"/>
    <w:rsid w:val="0014200B"/>
    <w:rsid w:val="001C504D"/>
    <w:rsid w:val="002246FE"/>
    <w:rsid w:val="002F3EE8"/>
    <w:rsid w:val="003B66D4"/>
    <w:rsid w:val="00473FE7"/>
    <w:rsid w:val="004B5A03"/>
    <w:rsid w:val="004F2C49"/>
    <w:rsid w:val="00592A42"/>
    <w:rsid w:val="00717A8B"/>
    <w:rsid w:val="00752F71"/>
    <w:rsid w:val="00767696"/>
    <w:rsid w:val="00777C54"/>
    <w:rsid w:val="00783783"/>
    <w:rsid w:val="007C322B"/>
    <w:rsid w:val="008405A5"/>
    <w:rsid w:val="008962BC"/>
    <w:rsid w:val="008B5D11"/>
    <w:rsid w:val="00932A8C"/>
    <w:rsid w:val="00A301B4"/>
    <w:rsid w:val="00AE2DB8"/>
    <w:rsid w:val="00BD024E"/>
    <w:rsid w:val="00C56550"/>
    <w:rsid w:val="00D51E29"/>
    <w:rsid w:val="00D7315F"/>
    <w:rsid w:val="00DA2B0E"/>
    <w:rsid w:val="00DD4A97"/>
    <w:rsid w:val="00F274AC"/>
    <w:rsid w:val="00F31CD2"/>
    <w:rsid w:val="00F85D92"/>
    <w:rsid w:val="00FB4953"/>
    <w:rsid w:val="00FD0AE1"/>
    <w:rsid w:val="00FD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4640"/>
  <w15:chartTrackingRefBased/>
  <w15:docId w15:val="{D88C3ABB-F460-4121-A42B-8846A71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1B4"/>
    <w:pPr>
      <w:keepNext/>
      <w:keepLines/>
      <w:spacing w:before="240" w:after="120"/>
      <w:jc w:val="center"/>
      <w:outlineLvl w:val="0"/>
    </w:pPr>
    <w:rPr>
      <w:rFonts w:ascii="Verdana" w:eastAsiaTheme="majorEastAsia" w:hAnsi="Verdana" w:cstheme="majorBidi"/>
      <w:sz w:val="32"/>
      <w:szCs w:val="32"/>
    </w:rPr>
  </w:style>
  <w:style w:type="paragraph" w:styleId="Heading2">
    <w:name w:val="heading 2"/>
    <w:basedOn w:val="Normal"/>
    <w:next w:val="Normal"/>
    <w:link w:val="Heading2Char"/>
    <w:autoRedefine/>
    <w:uiPriority w:val="9"/>
    <w:unhideWhenUsed/>
    <w:qFormat/>
    <w:rsid w:val="00A301B4"/>
    <w:pPr>
      <w:keepNext/>
      <w:keepLines/>
      <w:spacing w:before="160" w:after="120"/>
      <w:outlineLvl w:val="1"/>
    </w:pPr>
    <w:rPr>
      <w:rFonts w:ascii="Verdana" w:eastAsiaTheme="majorEastAsia" w:hAnsi="Verdan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A97"/>
    <w:pPr>
      <w:ind w:left="720"/>
      <w:contextualSpacing/>
    </w:pPr>
  </w:style>
  <w:style w:type="paragraph" w:customStyle="1" w:styleId="Body1">
    <w:name w:val="Body 1"/>
    <w:rsid w:val="00D51E29"/>
    <w:pPr>
      <w:spacing w:after="0" w:line="240" w:lineRule="auto"/>
    </w:pPr>
    <w:rPr>
      <w:rFonts w:ascii="Helvetica" w:eastAsia="Arial Unicode MS" w:hAnsi="Helvetica" w:cs="Times New Roman"/>
      <w:color w:val="000000"/>
      <w:sz w:val="24"/>
      <w:szCs w:val="20"/>
    </w:rPr>
  </w:style>
  <w:style w:type="character" w:customStyle="1" w:styleId="Heading2Char">
    <w:name w:val="Heading 2 Char"/>
    <w:basedOn w:val="DefaultParagraphFont"/>
    <w:link w:val="Heading2"/>
    <w:uiPriority w:val="9"/>
    <w:rsid w:val="00A301B4"/>
    <w:rPr>
      <w:rFonts w:ascii="Verdana" w:eastAsiaTheme="majorEastAsia" w:hAnsi="Verdana" w:cstheme="majorBidi"/>
      <w:sz w:val="28"/>
      <w:szCs w:val="26"/>
    </w:rPr>
  </w:style>
  <w:style w:type="character" w:customStyle="1" w:styleId="Heading1Char">
    <w:name w:val="Heading 1 Char"/>
    <w:basedOn w:val="DefaultParagraphFont"/>
    <w:link w:val="Heading1"/>
    <w:uiPriority w:val="9"/>
    <w:rsid w:val="00A301B4"/>
    <w:rPr>
      <w:rFonts w:ascii="Verdana" w:eastAsiaTheme="majorEastAsia" w:hAnsi="Verdana"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6318">
      <w:bodyDiv w:val="1"/>
      <w:marLeft w:val="0"/>
      <w:marRight w:val="0"/>
      <w:marTop w:val="0"/>
      <w:marBottom w:val="0"/>
      <w:divBdr>
        <w:top w:val="none" w:sz="0" w:space="0" w:color="auto"/>
        <w:left w:val="none" w:sz="0" w:space="0" w:color="auto"/>
        <w:bottom w:val="none" w:sz="0" w:space="0" w:color="auto"/>
        <w:right w:val="none" w:sz="0" w:space="0" w:color="auto"/>
      </w:divBdr>
    </w:div>
    <w:div w:id="793064044">
      <w:bodyDiv w:val="1"/>
      <w:marLeft w:val="0"/>
      <w:marRight w:val="0"/>
      <w:marTop w:val="0"/>
      <w:marBottom w:val="0"/>
      <w:divBdr>
        <w:top w:val="none" w:sz="0" w:space="0" w:color="auto"/>
        <w:left w:val="none" w:sz="0" w:space="0" w:color="auto"/>
        <w:bottom w:val="none" w:sz="0" w:space="0" w:color="auto"/>
        <w:right w:val="none" w:sz="0" w:space="0" w:color="auto"/>
      </w:divBdr>
    </w:div>
    <w:div w:id="1334456383">
      <w:bodyDiv w:val="1"/>
      <w:marLeft w:val="0"/>
      <w:marRight w:val="0"/>
      <w:marTop w:val="0"/>
      <w:marBottom w:val="0"/>
      <w:divBdr>
        <w:top w:val="none" w:sz="0" w:space="0" w:color="auto"/>
        <w:left w:val="none" w:sz="0" w:space="0" w:color="auto"/>
        <w:bottom w:val="none" w:sz="0" w:space="0" w:color="auto"/>
        <w:right w:val="none" w:sz="0" w:space="0" w:color="auto"/>
      </w:divBdr>
    </w:div>
    <w:div w:id="1907373367">
      <w:bodyDiv w:val="1"/>
      <w:marLeft w:val="0"/>
      <w:marRight w:val="0"/>
      <w:marTop w:val="0"/>
      <w:marBottom w:val="0"/>
      <w:divBdr>
        <w:top w:val="none" w:sz="0" w:space="0" w:color="auto"/>
        <w:left w:val="none" w:sz="0" w:space="0" w:color="auto"/>
        <w:bottom w:val="none" w:sz="0" w:space="0" w:color="auto"/>
        <w:right w:val="none" w:sz="0" w:space="0" w:color="auto"/>
      </w:divBdr>
    </w:div>
    <w:div w:id="194858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Pepper Watson</dc:creator>
  <cp:keywords/>
  <dc:description/>
  <cp:revision>3</cp:revision>
  <cp:lastPrinted>2021-03-26T18:15:00Z</cp:lastPrinted>
  <dcterms:created xsi:type="dcterms:W3CDTF">2021-07-30T19:00:00Z</dcterms:created>
  <dcterms:modified xsi:type="dcterms:W3CDTF">2021-08-02T16:40:00Z</dcterms:modified>
</cp:coreProperties>
</file>